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D6" w:rsidRPr="00EE6C80" w:rsidRDefault="00456BC2">
      <w:pPr>
        <w:spacing w:after="0" w:line="240" w:lineRule="auto"/>
        <w:jc w:val="center"/>
        <w:rPr>
          <w:lang w:val="ru-RU"/>
        </w:rPr>
      </w:pPr>
      <w:r w:rsidRPr="00EE6C80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32615957117</w:t>
      </w:r>
    </w:p>
    <w:p w:rsidR="008824D6" w:rsidRPr="00EE6C80" w:rsidRDefault="00456BC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8824D6" w:rsidRPr="00EE6C80" w:rsidRDefault="00456BC2">
      <w:pPr>
        <w:spacing w:after="0" w:line="240" w:lineRule="auto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Номер закупки: 32615957117</w:t>
      </w:r>
    </w:p>
    <w:p w:rsidR="008824D6" w:rsidRPr="00EE6C80" w:rsidRDefault="00456BC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8824D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spacing w:after="0" w:line="240" w:lineRule="auto"/>
              <w:textAlignment w:val="center"/>
              <w:rPr>
                <w:lang w:val="ru-RU"/>
              </w:rPr>
            </w:pPr>
            <w:r w:rsidRPr="00EE6C80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8824D6" w:rsidRPr="00EE6C80" w:rsidRDefault="008824D6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8824D6" w:rsidRPr="00EE6C80" w:rsidRDefault="00456BC2">
            <w:pPr>
              <w:spacing w:after="0" w:line="240" w:lineRule="auto"/>
              <w:rPr>
                <w:lang w:val="ru-RU"/>
              </w:rPr>
            </w:pPr>
            <w:r w:rsidRPr="00EE6C80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EE6C8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EE6C8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EE6C8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EE6C80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г.</w:t>
            </w:r>
          </w:p>
          <w:p w:rsidR="008824D6" w:rsidRDefault="00456BC2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8824D6" w:rsidRDefault="00456BC2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8824D6" w:rsidRPr="00EE6C80" w:rsidRDefault="00456BC2">
      <w:pPr>
        <w:spacing w:before="120" w:after="120" w:line="240" w:lineRule="auto"/>
        <w:ind w:left="255" w:hanging="24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8824D6" w:rsidRPr="00EE6C80" w:rsidRDefault="00456BC2">
      <w:pPr>
        <w:spacing w:before="120" w:after="120" w:line="240" w:lineRule="auto"/>
        <w:ind w:left="255" w:hanging="24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EE6C80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EE6C80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8824D6" w:rsidRPr="00EE6C80" w:rsidRDefault="00456BC2">
      <w:pPr>
        <w:spacing w:before="120" w:after="120" w:line="240" w:lineRule="auto"/>
        <w:ind w:left="255" w:hanging="24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«Реконструкция КЛ-6 </w:t>
      </w:r>
      <w:proofErr w:type="spellStart"/>
      <w:r w:rsidRPr="00EE6C80">
        <w:rPr>
          <w:color w:val="000000"/>
          <w:sz w:val="24"/>
          <w:szCs w:val="24"/>
          <w:lang w:val="ru-RU"/>
        </w:rPr>
        <w:t>кВ</w:t>
      </w:r>
      <w:proofErr w:type="spellEnd"/>
      <w:r w:rsidRPr="00EE6C80">
        <w:rPr>
          <w:color w:val="000000"/>
          <w:sz w:val="24"/>
          <w:szCs w:val="24"/>
          <w:lang w:val="ru-RU"/>
        </w:rPr>
        <w:t xml:space="preserve"> ТП-17-ТП-107, г. Новороссийск».</w:t>
      </w:r>
    </w:p>
    <w:p w:rsidR="008824D6" w:rsidRPr="00EE6C80" w:rsidRDefault="00456BC2">
      <w:pPr>
        <w:spacing w:before="120" w:after="120" w:line="240" w:lineRule="auto"/>
        <w:ind w:left="255" w:hanging="24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EE6C80">
        <w:rPr>
          <w:color w:val="000000"/>
          <w:sz w:val="24"/>
          <w:szCs w:val="24"/>
          <w:lang w:val="ru-RU"/>
        </w:rPr>
        <w:t xml:space="preserve"> 28.04.2026 по 07.05.2026</w:t>
      </w:r>
    </w:p>
    <w:p w:rsidR="008824D6" w:rsidRPr="00EE6C80" w:rsidRDefault="00456BC2">
      <w:pPr>
        <w:spacing w:before="120" w:after="120" w:line="240" w:lineRule="auto"/>
        <w:ind w:left="255" w:hanging="24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5. Дата начала подачи заявок: 28.04.2026</w:t>
      </w:r>
    </w:p>
    <w:p w:rsidR="008824D6" w:rsidRPr="00EE6C80" w:rsidRDefault="00456BC2">
      <w:pPr>
        <w:spacing w:before="120" w:after="120" w:line="240" w:lineRule="auto"/>
        <w:ind w:left="255" w:hanging="24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6. Дата и время окончания подачи заявок: 07.05.2026 9 ч. 00 мин. (по московскому времени)</w:t>
      </w:r>
    </w:p>
    <w:p w:rsidR="008824D6" w:rsidRPr="00EE6C80" w:rsidRDefault="00456BC2">
      <w:pPr>
        <w:spacing w:before="120" w:after="120" w:line="240" w:lineRule="auto"/>
        <w:ind w:left="255" w:hanging="24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7. Дата подведения итогов: 22.05.2026</w:t>
      </w:r>
    </w:p>
    <w:p w:rsidR="008824D6" w:rsidRPr="00EE6C80" w:rsidRDefault="00456BC2">
      <w:pPr>
        <w:spacing w:before="120" w:after="120" w:line="240" w:lineRule="auto"/>
        <w:ind w:left="255" w:hanging="24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8. Место подведения ито</w:t>
      </w:r>
      <w:r w:rsidRPr="00EE6C80">
        <w:rPr>
          <w:color w:val="000000"/>
          <w:sz w:val="24"/>
          <w:szCs w:val="24"/>
          <w:lang w:val="ru-RU"/>
        </w:rPr>
        <w:t>гов:</w:t>
      </w:r>
    </w:p>
    <w:p w:rsidR="008824D6" w:rsidRPr="00EE6C80" w:rsidRDefault="00456BC2">
      <w:pPr>
        <w:spacing w:before="120" w:after="120" w:line="240" w:lineRule="auto"/>
        <w:ind w:left="255" w:hanging="24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9. Состав комиссии:</w:t>
      </w:r>
    </w:p>
    <w:p w:rsidR="008824D6" w:rsidRPr="00EE6C80" w:rsidRDefault="00456BC2">
      <w:pPr>
        <w:spacing w:before="120" w:after="120" w:line="240" w:lineRule="auto"/>
        <w:ind w:left="255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32615957117,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3097"/>
      </w:tblGrid>
      <w:tr w:rsidR="00EE6C80" w:rsidRPr="001F61A0" w:rsidTr="00EE6C8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Член</w:t>
            </w:r>
            <w:proofErr w:type="spellEnd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комиссии</w:t>
            </w:r>
            <w:proofErr w:type="spellEnd"/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Роль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Статус</w:t>
            </w:r>
            <w:proofErr w:type="spellEnd"/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E6C80" w:rsidRPr="001F61A0" w:rsidTr="00EE6C8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EE6C80" w:rsidRPr="001F61A0" w:rsidTr="00EE6C8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EE6C80" w:rsidRPr="001F61A0" w:rsidTr="00EE6C8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EE6C80" w:rsidRPr="001F61A0" w:rsidTr="00EE6C8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EE6C80" w:rsidRPr="001F61A0" w:rsidTr="00EE6C8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EE6C80" w:rsidRPr="001F61A0" w:rsidTr="00EE6C8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EE6C80" w:rsidRPr="001F61A0" w:rsidTr="00EE6C8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8824D6" w:rsidRPr="00EE6C80" w:rsidRDefault="00456BC2">
      <w:pPr>
        <w:spacing w:before="120" w:after="120" w:line="240" w:lineRule="auto"/>
        <w:ind w:left="255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EE6C80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EE6C80">
        <w:rPr>
          <w:color w:val="000000"/>
          <w:sz w:val="24"/>
          <w:szCs w:val="24"/>
          <w:lang w:val="ru-RU"/>
        </w:rPr>
        <w:t>ов</w:t>
      </w:r>
      <w:proofErr w:type="spellEnd"/>
      <w:r w:rsidRPr="00EE6C80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8824D6" w:rsidRPr="00EE6C80" w:rsidRDefault="00456BC2">
      <w:pPr>
        <w:spacing w:before="120" w:after="120" w:line="240" w:lineRule="auto"/>
        <w:ind w:left="375" w:hanging="384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8824D6" w:rsidRPr="00EE6C80" w:rsidRDefault="00456BC2">
      <w:pPr>
        <w:spacing w:before="240" w:after="240" w:line="240" w:lineRule="auto"/>
        <w:ind w:left="990" w:hanging="960"/>
        <w:rPr>
          <w:lang w:val="ru-RU"/>
        </w:rPr>
      </w:pPr>
      <w:r w:rsidRPr="00EE6C80">
        <w:rPr>
          <w:b/>
          <w:bCs/>
          <w:color w:val="000000"/>
          <w:sz w:val="24"/>
          <w:szCs w:val="24"/>
          <w:lang w:val="ru-RU"/>
        </w:rPr>
        <w:t xml:space="preserve">Лот №1: Выполнение строительно-монтажных и пусконаладочных работ по объекту: «Реконструкция КЛ-6 </w:t>
      </w:r>
      <w:proofErr w:type="spellStart"/>
      <w:r w:rsidRPr="00EE6C80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EE6C80">
        <w:rPr>
          <w:b/>
          <w:bCs/>
          <w:color w:val="000000"/>
          <w:sz w:val="24"/>
          <w:szCs w:val="24"/>
          <w:lang w:val="ru-RU"/>
        </w:rPr>
        <w:t xml:space="preserve"> ТП-17-ТП-107, г. Новороссийск».</w:t>
      </w:r>
    </w:p>
    <w:p w:rsidR="008824D6" w:rsidRDefault="00456BC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8824D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8824D6" w:rsidRPr="00EE6C80" w:rsidRDefault="00456BC2">
      <w:pPr>
        <w:spacing w:before="120" w:after="120" w:line="240" w:lineRule="auto"/>
        <w:ind w:left="720" w:hanging="72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10.1.2. Начальная (максимальная) цена договора: 9 459 303,39 (Российский рубль).</w:t>
      </w:r>
    </w:p>
    <w:p w:rsidR="008824D6" w:rsidRPr="00EE6C80" w:rsidRDefault="00456BC2">
      <w:pPr>
        <w:spacing w:before="120" w:after="120" w:line="240" w:lineRule="auto"/>
        <w:ind w:left="720" w:hanging="72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8824D6" w:rsidRDefault="00456BC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</w:t>
      </w:r>
      <w:r>
        <w:rPr>
          <w:color w:val="000000"/>
          <w:sz w:val="24"/>
          <w:szCs w:val="24"/>
        </w:rPr>
        <w:t>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8824D6" w:rsidRPr="001F61A0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ОКПД 2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ОКВЭД 2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Количество</w:t>
            </w: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(ед. измерения)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824D6" w:rsidRPr="001F61A0" w:rsidTr="001F61A0">
        <w:trPr>
          <w:trHeight w:val="490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 xml:space="preserve">43.21 </w:t>
            </w:r>
            <w:proofErr w:type="spellStart"/>
            <w:r w:rsidRPr="001F61A0">
              <w:rPr>
                <w:color w:val="000000"/>
                <w:position w:val="-3"/>
                <w:szCs w:val="24"/>
              </w:rPr>
              <w:t>Работы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1F61A0">
              <w:rPr>
                <w:color w:val="000000"/>
                <w:position w:val="-3"/>
                <w:szCs w:val="24"/>
              </w:rPr>
              <w:t>электромонтажные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1.000000 (УСЛ ЕД) </w:t>
            </w:r>
          </w:p>
        </w:tc>
      </w:tr>
    </w:tbl>
    <w:p w:rsidR="008824D6" w:rsidRPr="00EE6C80" w:rsidRDefault="00456BC2" w:rsidP="001F61A0">
      <w:pPr>
        <w:spacing w:before="120" w:after="120" w:line="240" w:lineRule="auto"/>
        <w:ind w:left="720" w:hanging="72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10.1.5. Подведение итогов закупки осуществляется среди 3 заявок участников аукциона 32615957117: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2061"/>
        <w:gridCol w:w="1701"/>
        <w:gridCol w:w="851"/>
        <w:gridCol w:w="2812"/>
      </w:tblGrid>
      <w:tr w:rsidR="008824D6" w:rsidRPr="001F61A0" w:rsidTr="00572B1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proofErr w:type="spellStart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</w:t>
            </w:r>
            <w:proofErr w:type="spellEnd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proofErr w:type="spellEnd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заявки</w:t>
            </w:r>
            <w:proofErr w:type="spellEnd"/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  <w:rPr>
                <w:lang w:val="ru-RU"/>
              </w:rPr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824D6" w:rsidRPr="001F61A0" w:rsidTr="00572B1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484540 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07.05.2026 11:14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9 222 820,79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2.50 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  <w:rPr>
                <w:lang w:val="ru-RU"/>
              </w:rPr>
            </w:pPr>
            <w:r w:rsidRPr="001F61A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8824D6" w:rsidRPr="001F61A0" w:rsidTr="00572B1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485658 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01.05.2026 17:15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9 459 303,39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  <w:rPr>
                <w:lang w:val="ru-RU"/>
              </w:rPr>
            </w:pPr>
            <w:r w:rsidRPr="001F61A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8824D6" w:rsidRPr="001F61A0" w:rsidTr="00572B1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486115 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07.05.2026 11:12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9 270 117,31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2.00 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  <w:rPr>
                <w:lang w:val="ru-RU"/>
              </w:rPr>
            </w:pPr>
            <w:r w:rsidRPr="001F61A0">
              <w:rPr>
                <w:color w:val="000000"/>
                <w:position w:val="-3"/>
                <w:szCs w:val="24"/>
                <w:lang w:val="ru-RU"/>
              </w:rPr>
              <w:t>ОБЩЕСТВ</w:t>
            </w:r>
            <w:r w:rsidRPr="001F61A0">
              <w:rPr>
                <w:color w:val="000000"/>
                <w:position w:val="-3"/>
                <w:szCs w:val="24"/>
                <w:lang w:val="ru-RU"/>
              </w:rPr>
              <w:t>О С ОГРАНИЧЕННОЙ ОТВЕТСТВЕННОСТЬЮ "СВЯЗЬТРАНССТРОЙ"</w:t>
            </w:r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8824D6" w:rsidRPr="00EE6C80" w:rsidRDefault="00456BC2" w:rsidP="001F61A0">
      <w:pPr>
        <w:spacing w:before="120" w:after="120" w:line="240" w:lineRule="auto"/>
        <w:ind w:left="720" w:hanging="72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8824D6" w:rsidRPr="001F61A0" w:rsidTr="00EE6C8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proofErr w:type="spellStart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</w:t>
            </w:r>
            <w:proofErr w:type="spellEnd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proofErr w:type="spellEnd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заявки</w:t>
            </w:r>
            <w:proofErr w:type="spellEnd"/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</w:t>
            </w: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аявки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  <w:rPr>
                <w:lang w:val="ru-RU"/>
              </w:rPr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824D6" w:rsidRPr="001F61A0" w:rsidTr="00EE6C8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484540 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07.05.2026 11:14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  <w:rPr>
                <w:lang w:val="ru-RU"/>
              </w:rPr>
            </w:pPr>
            <w:r w:rsidRPr="001F61A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8824D6" w:rsidRPr="001F61A0" w:rsidTr="00EE6C8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486115 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07.05.2026 11:12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  <w:rPr>
                <w:lang w:val="ru-RU"/>
              </w:rPr>
            </w:pPr>
            <w:r w:rsidRPr="001F61A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"СВЯЗЬТРАНССТРОЙ"</w:t>
            </w:r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8824D6" w:rsidRPr="001F61A0" w:rsidTr="00EE6C8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485658 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01.05.2026 17:15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  <w:rPr>
                <w:lang w:val="ru-RU"/>
              </w:rPr>
            </w:pPr>
            <w:r w:rsidRPr="001F61A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1F61A0" w:rsidRDefault="00456BC2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8824D6" w:rsidRPr="00EE6C80" w:rsidRDefault="00456BC2" w:rsidP="001F61A0">
      <w:pPr>
        <w:spacing w:before="120" w:after="120" w:line="240" w:lineRule="auto"/>
        <w:ind w:left="720" w:hanging="72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119"/>
        <w:gridCol w:w="2954"/>
      </w:tblGrid>
      <w:tr w:rsidR="00EE6C80" w:rsidRPr="001F61A0" w:rsidTr="00EE6C80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ФИО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Роль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1F61A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E6C80" w:rsidRPr="001F61A0" w:rsidTr="00EE6C80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 xml:space="preserve">Бештоков </w:t>
            </w:r>
            <w:proofErr w:type="spellStart"/>
            <w:r w:rsidRPr="001F61A0">
              <w:rPr>
                <w:color w:val="000000"/>
                <w:position w:val="-3"/>
                <w:szCs w:val="24"/>
              </w:rPr>
              <w:t>Марат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1F61A0">
              <w:rPr>
                <w:color w:val="000000"/>
                <w:position w:val="-3"/>
                <w:szCs w:val="24"/>
              </w:rPr>
              <w:t>Мухадинович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Председатель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EE6C80" w:rsidRPr="001F61A0" w:rsidTr="00EE6C80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color w:val="000000"/>
                <w:position w:val="-3"/>
                <w:szCs w:val="24"/>
              </w:rPr>
              <w:lastRenderedPageBreak/>
              <w:t>Стальченко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EE6C80" w:rsidRPr="001F61A0" w:rsidTr="00EE6C80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color w:val="000000"/>
                <w:position w:val="-3"/>
                <w:szCs w:val="24"/>
              </w:rPr>
              <w:t>Семёнов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1F61A0">
              <w:rPr>
                <w:color w:val="000000"/>
                <w:position w:val="-3"/>
                <w:szCs w:val="24"/>
              </w:rPr>
              <w:t>Фёдор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 xml:space="preserve"> Иванович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EE6C80" w:rsidRPr="001F61A0" w:rsidTr="00EE6C80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proofErr w:type="spellStart"/>
            <w:r w:rsidRPr="001F61A0">
              <w:rPr>
                <w:color w:val="000000"/>
                <w:position w:val="-3"/>
                <w:szCs w:val="24"/>
              </w:rPr>
              <w:t>Макушин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1F61A0">
              <w:rPr>
                <w:color w:val="000000"/>
                <w:position w:val="-3"/>
                <w:szCs w:val="24"/>
              </w:rPr>
              <w:t>Вадим</w:t>
            </w:r>
            <w:proofErr w:type="spellEnd"/>
            <w:r w:rsidRPr="001F61A0">
              <w:rPr>
                <w:color w:val="000000"/>
                <w:position w:val="-3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EE6C80" w:rsidRPr="001F61A0" w:rsidTr="00EE6C80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EE6C80" w:rsidRPr="001F61A0" w:rsidTr="00EE6C80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Маммеев Мурат Валерьевич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EE6C80" w:rsidRPr="001F61A0" w:rsidTr="00EE6C80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Секретарь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C80" w:rsidRPr="001F61A0" w:rsidRDefault="00EE6C80">
            <w:pPr>
              <w:jc w:val="center"/>
            </w:pPr>
            <w:r w:rsidRPr="001F61A0">
              <w:rPr>
                <w:color w:val="000000"/>
                <w:position w:val="-3"/>
                <w:szCs w:val="24"/>
              </w:rPr>
              <w:t>За </w:t>
            </w:r>
          </w:p>
        </w:tc>
      </w:tr>
    </w:tbl>
    <w:p w:rsidR="008824D6" w:rsidRPr="00EE6C80" w:rsidRDefault="00456BC2">
      <w:pPr>
        <w:spacing w:before="120" w:after="120" w:line="240" w:lineRule="auto"/>
        <w:ind w:left="720" w:hanging="720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EE6C80">
        <w:rPr>
          <w:color w:val="000000"/>
          <w:sz w:val="24"/>
          <w:szCs w:val="24"/>
          <w:lang w:val="ru-RU"/>
        </w:rPr>
        <w:t>заявки</w:t>
      </w:r>
      <w:proofErr w:type="gramEnd"/>
      <w:r w:rsidRPr="00EE6C80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</w:t>
      </w:r>
      <w:r w:rsidRPr="00EE6C80">
        <w:rPr>
          <w:color w:val="000000"/>
          <w:sz w:val="24"/>
          <w:szCs w:val="24"/>
          <w:lang w:val="ru-RU"/>
        </w:rPr>
        <w:t>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8824D6" w:rsidRPr="00EE6C80" w:rsidTr="00EE6C8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proofErr w:type="spellStart"/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EE6C8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EE6C80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  <w:rPr>
                <w:lang w:val="ru-RU"/>
              </w:rPr>
            </w:pP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EE6C8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EE6C8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E6C8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E6C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E6C8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824D6" w:rsidRPr="00EE6C80" w:rsidTr="00EE6C8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  <w:rPr>
                <w:lang w:val="ru-RU"/>
              </w:rPr>
            </w:pPr>
            <w:r w:rsidRPr="00EE6C8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</w:t>
            </w:r>
            <w:r w:rsidRPr="00EE6C80">
              <w:rPr>
                <w:color w:val="000000"/>
                <w:position w:val="-3"/>
                <w:szCs w:val="24"/>
                <w:lang w:val="ru-RU"/>
              </w:rPr>
              <w:t>ЭНЕРГОМОНТАЖ"</w:t>
            </w:r>
            <w:r w:rsidRPr="00EE6C8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9 222 820,79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9 222 820,79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484540 </w:t>
            </w:r>
          </w:p>
        </w:tc>
      </w:tr>
      <w:tr w:rsidR="008824D6" w:rsidRPr="00EE6C80" w:rsidTr="00EE6C8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  <w:rPr>
                <w:lang w:val="ru-RU"/>
              </w:rPr>
            </w:pPr>
            <w:r w:rsidRPr="00EE6C8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"СВЯЗЬТРАНССТРОЙ"</w:t>
            </w:r>
            <w:r w:rsidRPr="00EE6C8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9 270 117,31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9 270 117,31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486115 </w:t>
            </w:r>
          </w:p>
        </w:tc>
      </w:tr>
      <w:tr w:rsidR="008824D6" w:rsidRPr="00EE6C80" w:rsidTr="00EE6C8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3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  <w:rPr>
                <w:lang w:val="ru-RU"/>
              </w:rPr>
            </w:pPr>
            <w:r w:rsidRPr="00EE6C8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EE6C8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9 459 303,39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9 459 303,39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Pr="00EE6C80" w:rsidRDefault="00456BC2">
            <w:pPr>
              <w:jc w:val="center"/>
            </w:pPr>
            <w:r w:rsidRPr="00EE6C80">
              <w:rPr>
                <w:color w:val="000000"/>
                <w:position w:val="-3"/>
                <w:szCs w:val="24"/>
              </w:rPr>
              <w:t>485658 </w:t>
            </w:r>
          </w:p>
        </w:tc>
      </w:tr>
    </w:tbl>
    <w:p w:rsidR="008824D6" w:rsidRPr="00EE6C80" w:rsidRDefault="00456BC2">
      <w:pPr>
        <w:spacing w:before="120" w:after="120" w:line="240" w:lineRule="auto"/>
        <w:ind w:left="375" w:hanging="384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8824D6" w:rsidRPr="00EE6C80" w:rsidRDefault="00456BC2">
      <w:pPr>
        <w:spacing w:before="120" w:after="120" w:line="240" w:lineRule="auto"/>
        <w:ind w:left="705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Заключить договор с:</w:t>
      </w:r>
      <w:r w:rsidR="001100C5">
        <w:rPr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EE6C80">
        <w:rPr>
          <w:color w:val="000000"/>
          <w:sz w:val="24"/>
          <w:szCs w:val="24"/>
          <w:lang w:val="ru-RU"/>
        </w:rPr>
        <w:t>ООО "ЭНЕРГОМОНТАЖ"</w:t>
      </w:r>
    </w:p>
    <w:p w:rsidR="008824D6" w:rsidRPr="00EE6C80" w:rsidRDefault="00456BC2">
      <w:pPr>
        <w:spacing w:before="120" w:after="120" w:line="240" w:lineRule="auto"/>
        <w:ind w:left="375" w:hanging="384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8824D6" w:rsidRPr="00EE6C80" w:rsidRDefault="00456BC2" w:rsidP="00185A11">
      <w:pPr>
        <w:spacing w:before="120" w:after="0" w:line="240" w:lineRule="auto"/>
        <w:ind w:left="375" w:hanging="384"/>
        <w:rPr>
          <w:lang w:val="ru-RU"/>
        </w:rPr>
      </w:pPr>
      <w:r w:rsidRPr="00EE6C80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</w:t>
      </w:r>
      <w:r w:rsidRPr="00EE6C80">
        <w:rPr>
          <w:color w:val="000000"/>
          <w:sz w:val="24"/>
          <w:szCs w:val="24"/>
          <w:lang w:val="ru-RU"/>
        </w:rPr>
        <w:t>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8824D6" w:rsidRPr="00EE6C80" w:rsidRDefault="00456BC2" w:rsidP="00EE6C80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8824D6" w:rsidRDefault="00456BC2" w:rsidP="00185A11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8824D6" w:rsidTr="00185A1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824D6" w:rsidRDefault="00456BC2" w:rsidP="00EE6C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8824D6" w:rsidTr="00185A1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824D6" w:rsidRDefault="00456BC2" w:rsidP="00EE6C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8824D6" w:rsidTr="00185A1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824D6" w:rsidRDefault="00456BC2" w:rsidP="00EE6C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8824D6" w:rsidTr="00185A1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824D6" w:rsidRDefault="00456BC2" w:rsidP="00EE6C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8824D6" w:rsidTr="00185A1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824D6" w:rsidRDefault="00456BC2" w:rsidP="00EE6C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8824D6" w:rsidTr="00185A1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824D6" w:rsidRDefault="00456BC2" w:rsidP="00EE6C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8824D6" w:rsidTr="00185A1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824D6" w:rsidRDefault="00456BC2" w:rsidP="00EE6C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4D6" w:rsidRDefault="00456BC2" w:rsidP="00EE6C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8824D6" w:rsidRDefault="00456BC2" w:rsidP="00EE6C80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8824D6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C2" w:rsidRDefault="00456BC2" w:rsidP="006E0FDA">
      <w:pPr>
        <w:spacing w:after="0" w:line="240" w:lineRule="auto"/>
      </w:pPr>
      <w:r>
        <w:separator/>
      </w:r>
    </w:p>
  </w:endnote>
  <w:endnote w:type="continuationSeparator" w:id="0">
    <w:p w:rsidR="00456BC2" w:rsidRDefault="00456BC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E5" w:rsidRPr="00B75E63" w:rsidRDefault="003104E5" w:rsidP="003104E5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3104E5" w:rsidRPr="00E81037" w:rsidRDefault="003104E5" w:rsidP="003104E5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  <w:p w:rsidR="003104E5" w:rsidRPr="003104E5" w:rsidRDefault="003104E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C2" w:rsidRDefault="00456BC2" w:rsidP="006E0FDA">
      <w:pPr>
        <w:spacing w:after="0" w:line="240" w:lineRule="auto"/>
      </w:pPr>
      <w:r>
        <w:separator/>
      </w:r>
    </w:p>
  </w:footnote>
  <w:footnote w:type="continuationSeparator" w:id="0">
    <w:p w:rsidR="00456BC2" w:rsidRDefault="00456BC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616B"/>
    <w:multiLevelType w:val="hybridMultilevel"/>
    <w:tmpl w:val="13C0EC3E"/>
    <w:lvl w:ilvl="0" w:tplc="68059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39C6E63"/>
    <w:multiLevelType w:val="hybridMultilevel"/>
    <w:tmpl w:val="5C0A8116"/>
    <w:lvl w:ilvl="0" w:tplc="69084648">
      <w:start w:val="1"/>
      <w:numFmt w:val="decimal"/>
      <w:lvlText w:val="%1."/>
      <w:lvlJc w:val="left"/>
      <w:pPr>
        <w:ind w:left="720" w:hanging="360"/>
      </w:pPr>
    </w:lvl>
    <w:lvl w:ilvl="1" w:tplc="69084648" w:tentative="1">
      <w:start w:val="1"/>
      <w:numFmt w:val="lowerLetter"/>
      <w:lvlText w:val="%2."/>
      <w:lvlJc w:val="left"/>
      <w:pPr>
        <w:ind w:left="1440" w:hanging="360"/>
      </w:pPr>
    </w:lvl>
    <w:lvl w:ilvl="2" w:tplc="69084648" w:tentative="1">
      <w:start w:val="1"/>
      <w:numFmt w:val="lowerRoman"/>
      <w:lvlText w:val="%3."/>
      <w:lvlJc w:val="right"/>
      <w:pPr>
        <w:ind w:left="2160" w:hanging="180"/>
      </w:pPr>
    </w:lvl>
    <w:lvl w:ilvl="3" w:tplc="69084648" w:tentative="1">
      <w:start w:val="1"/>
      <w:numFmt w:val="decimal"/>
      <w:lvlText w:val="%4."/>
      <w:lvlJc w:val="left"/>
      <w:pPr>
        <w:ind w:left="2880" w:hanging="360"/>
      </w:pPr>
    </w:lvl>
    <w:lvl w:ilvl="4" w:tplc="69084648" w:tentative="1">
      <w:start w:val="1"/>
      <w:numFmt w:val="lowerLetter"/>
      <w:lvlText w:val="%5."/>
      <w:lvlJc w:val="left"/>
      <w:pPr>
        <w:ind w:left="3600" w:hanging="360"/>
      </w:pPr>
    </w:lvl>
    <w:lvl w:ilvl="5" w:tplc="69084648" w:tentative="1">
      <w:start w:val="1"/>
      <w:numFmt w:val="lowerRoman"/>
      <w:lvlText w:val="%6."/>
      <w:lvlJc w:val="right"/>
      <w:pPr>
        <w:ind w:left="4320" w:hanging="180"/>
      </w:pPr>
    </w:lvl>
    <w:lvl w:ilvl="6" w:tplc="69084648" w:tentative="1">
      <w:start w:val="1"/>
      <w:numFmt w:val="decimal"/>
      <w:lvlText w:val="%7."/>
      <w:lvlJc w:val="left"/>
      <w:pPr>
        <w:ind w:left="5040" w:hanging="360"/>
      </w:pPr>
    </w:lvl>
    <w:lvl w:ilvl="7" w:tplc="69084648" w:tentative="1">
      <w:start w:val="1"/>
      <w:numFmt w:val="lowerLetter"/>
      <w:lvlText w:val="%8."/>
      <w:lvlJc w:val="left"/>
      <w:pPr>
        <w:ind w:left="5760" w:hanging="360"/>
      </w:pPr>
    </w:lvl>
    <w:lvl w:ilvl="8" w:tplc="690846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56B05"/>
    <w:rsid w:val="00065F9C"/>
    <w:rsid w:val="000F6147"/>
    <w:rsid w:val="001100C5"/>
    <w:rsid w:val="00112029"/>
    <w:rsid w:val="00135412"/>
    <w:rsid w:val="00185A11"/>
    <w:rsid w:val="001F61A0"/>
    <w:rsid w:val="002026D7"/>
    <w:rsid w:val="003104E5"/>
    <w:rsid w:val="00361FF4"/>
    <w:rsid w:val="003B5299"/>
    <w:rsid w:val="00456BC2"/>
    <w:rsid w:val="00493A0C"/>
    <w:rsid w:val="004D6B48"/>
    <w:rsid w:val="00531A4E"/>
    <w:rsid w:val="00535F5A"/>
    <w:rsid w:val="00555F58"/>
    <w:rsid w:val="00572B1A"/>
    <w:rsid w:val="006E6663"/>
    <w:rsid w:val="007005D1"/>
    <w:rsid w:val="008824D6"/>
    <w:rsid w:val="008B3AC2"/>
    <w:rsid w:val="008F680D"/>
    <w:rsid w:val="009E2FDB"/>
    <w:rsid w:val="00AC197E"/>
    <w:rsid w:val="00B21D59"/>
    <w:rsid w:val="00BD419F"/>
    <w:rsid w:val="00DF064E"/>
    <w:rsid w:val="00EE6C8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1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4E5"/>
  </w:style>
  <w:style w:type="paragraph" w:styleId="a5">
    <w:name w:val="footer"/>
    <w:basedOn w:val="a"/>
    <w:link w:val="a6"/>
    <w:uiPriority w:val="99"/>
    <w:unhideWhenUsed/>
    <w:rsid w:val="0031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24041209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979859678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5B3E-35E8-4F5D-85DA-1F81D57B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20</cp:revision>
  <dcterms:created xsi:type="dcterms:W3CDTF">2012-01-10T09:29:00Z</dcterms:created>
  <dcterms:modified xsi:type="dcterms:W3CDTF">2026-05-07T08:42:00Z</dcterms:modified>
</cp:coreProperties>
</file>