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bookmarkStart w:id="1" w:name="_GoBack"/>
      <w:bookmarkEnd w:id="1"/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posOffset>5005502</wp:posOffset>
            </wp:positionH>
            <wp:positionV relativeFrom="margin">
              <wp:posOffset>-450368</wp:posOffset>
            </wp:positionV>
            <wp:extent cx="1090800" cy="352800"/>
            <wp:effectExtent b="0" l="0" r="0" t="0"/>
            <wp:wrapNone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1090800" cy="3528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widowControl w:val="1"/>
        <w:ind/>
        <w:jc w:val="center"/>
        <w:rPr>
          <w:b w:val="1"/>
        </w:rPr>
      </w:pPr>
      <w:r>
        <w:rPr>
          <w:b w:val="1"/>
        </w:rPr>
        <w:t>Д</w:t>
      </w:r>
      <w:r>
        <w:rPr>
          <w:b w:val="1"/>
        </w:rPr>
        <w:t>оговор</w:t>
      </w:r>
      <w:r>
        <w:rPr>
          <w:b w:val="1"/>
        </w:rPr>
        <w:t xml:space="preserve"> № ____</w:t>
      </w:r>
    </w:p>
    <w:p w14:paraId="05000000"/>
    <w:p w14:paraId="06000000">
      <w:r>
        <w:t xml:space="preserve">г. Краснодар                                                                  </w:t>
      </w:r>
      <w:r>
        <w:t xml:space="preserve">                               </w:t>
      </w:r>
      <w:r>
        <w:t>«___» _______ 202_ г.</w:t>
      </w:r>
    </w:p>
    <w:p w14:paraId="07000000">
      <w:pPr>
        <w:widowControl w:val="1"/>
        <w:ind/>
        <w:jc w:val="both"/>
      </w:pPr>
      <w:r>
        <w:rPr>
          <w:b w:val="1"/>
        </w:rPr>
        <w:t>Акционерное общество «Электросети Кубани»</w:t>
      </w:r>
      <w:r>
        <w:t>, именуемое в дальнейшем «</w:t>
      </w:r>
      <w:r>
        <w:rPr>
          <w:b w:val="1"/>
        </w:rPr>
        <w:t>Заказчик</w:t>
      </w:r>
      <w:r>
        <w:t>», в лице ________________, действующего на основании ____________________, с одной стороны, и</w:t>
      </w:r>
    </w:p>
    <w:p w14:paraId="08000000">
      <w:pPr>
        <w:widowControl w:val="1"/>
        <w:ind/>
        <w:jc w:val="both"/>
      </w:pPr>
      <w:r>
        <w:rPr>
          <w:b w:val="1"/>
          <w:color w:val="000000"/>
        </w:rPr>
        <w:t>____________________________________</w:t>
      </w:r>
      <w:r>
        <w:t>,</w:t>
      </w:r>
      <w:r>
        <w:rPr>
          <w:color w:val="000000"/>
        </w:rPr>
        <w:t xml:space="preserve"> именуемое в дальнейшем </w:t>
      </w:r>
      <w:r>
        <w:rPr>
          <w:color w:val="000000"/>
        </w:rPr>
        <w:t>«</w:t>
      </w:r>
      <w:r>
        <w:rPr>
          <w:b w:val="1"/>
          <w:color w:val="000000"/>
        </w:rPr>
        <w:t>Подрядчик</w:t>
      </w:r>
      <w:r>
        <w:rPr>
          <w:color w:val="000000"/>
        </w:rPr>
        <w:t>»</w:t>
      </w:r>
      <w:r>
        <w:rPr>
          <w:color w:val="000000"/>
        </w:rPr>
        <w:t>, в лице _________________, действующего на основании _____________________________</w:t>
      </w:r>
      <w:r>
        <w:t>, с другой стороны, вместе именуемые «Стороны», по результатам проведения конкурсных процедур (протокол заседания единой закупочной комиссии от «___» _________ 202_ г.) пришли к соглашению заключить настоящий договор (далее по тексту - Договор) о нижеследующем:</w:t>
      </w:r>
    </w:p>
    <w:p w14:paraId="09000000"/>
    <w:p w14:paraId="0A000000">
      <w:pPr>
        <w:widowControl w:val="1"/>
        <w:ind/>
        <w:jc w:val="center"/>
        <w:rPr>
          <w:b w:val="1"/>
        </w:rPr>
      </w:pPr>
      <w:r>
        <w:rPr>
          <w:b w:val="1"/>
        </w:rPr>
        <w:t>1. П</w:t>
      </w:r>
      <w:r>
        <w:rPr>
          <w:b w:val="1"/>
        </w:rPr>
        <w:t>редмет договора</w:t>
      </w:r>
    </w:p>
    <w:p w14:paraId="0B000000">
      <w:pPr>
        <w:widowControl w:val="1"/>
        <w:ind/>
        <w:jc w:val="both"/>
      </w:pPr>
      <w:r>
        <w:t xml:space="preserve">1.1. Подрядчик обязуется осуществить </w:t>
      </w:r>
      <w:r>
        <w:t xml:space="preserve">работы по «Обслуживанию устройств релейной защиты и автоматики в </w:t>
      </w:r>
      <w:r>
        <w:t xml:space="preserve">объеме первый профилактический </w:t>
      </w:r>
      <w:r>
        <w:t>контроль (К</w:t>
      </w:r>
      <w:r>
        <w:t>1</w:t>
      </w:r>
      <w:r>
        <w:t xml:space="preserve">) на ПС 110/10 </w:t>
      </w:r>
      <w:r>
        <w:t>кВ</w:t>
      </w:r>
      <w:r>
        <w:t xml:space="preserve"> «Лучистая»</w:t>
      </w:r>
      <w:r>
        <w:t xml:space="preserve"> (</w:t>
      </w:r>
      <w:r>
        <w:t xml:space="preserve">далее - </w:t>
      </w:r>
      <w:r>
        <w:t>выполнение р</w:t>
      </w:r>
      <w:r>
        <w:t>абот</w:t>
      </w:r>
      <w:r>
        <w:t xml:space="preserve">) </w:t>
      </w:r>
      <w:r>
        <w:t>в соответствии с</w:t>
      </w:r>
      <w:r>
        <w:t xml:space="preserve"> условиями настоящего Договора и </w:t>
      </w:r>
      <w:r>
        <w:t>заданием Заказчика, а Заказчик обязуется создать Подрядчику необходимые условия для выполнения работ, принять их результат и уплатить обусловленную настоящим Договором цену.</w:t>
      </w:r>
    </w:p>
    <w:p w14:paraId="0C000000">
      <w:pPr>
        <w:widowControl w:val="1"/>
        <w:ind/>
        <w:jc w:val="both"/>
      </w:pPr>
      <w:r>
        <w:t>1.2. Перечень работ, подлежащих выполнению Подрядчиком по настоящему Договору, установлен в локальных ресурсных сметных расчетах (Приложения № _____к настоящему Договору).</w:t>
      </w:r>
    </w:p>
    <w:p w14:paraId="0D000000">
      <w:pPr>
        <w:widowControl w:val="1"/>
        <w:ind/>
        <w:jc w:val="both"/>
      </w:pPr>
      <w:r>
        <w:t xml:space="preserve">1.3 Цена договора является твердой и корректировке в течение срока действия Договора не подлежит, кроме </w:t>
      </w:r>
      <w:r>
        <w:t>случаев</w:t>
      </w:r>
      <w:r>
        <w:t xml:space="preserve"> если в результате исполнения договора возникает необходимость оказания дополнительных работ, в том числе переделка, по инициативе Заказчика, ранее выполненных работ. Исполнитель составляет расчет стоимости дополнительных работ, который передаёт Заказчику на утверждение. Если такой расчет увеличивает договорную цену и/или сроки исполнения работ Исполнитель приступает к их выполнению только после подписания Заказчиком и Исполнителем соответствующего Дополнительного соглашения.</w:t>
      </w:r>
    </w:p>
    <w:p w14:paraId="0E000000"/>
    <w:p w14:paraId="0F000000">
      <w:pPr>
        <w:widowControl w:val="1"/>
        <w:ind/>
        <w:jc w:val="center"/>
        <w:rPr>
          <w:b w:val="1"/>
        </w:rPr>
      </w:pPr>
      <w:r>
        <w:rPr>
          <w:b w:val="1"/>
        </w:rPr>
        <w:t>2. П</w:t>
      </w:r>
      <w:r>
        <w:rPr>
          <w:b w:val="1"/>
        </w:rPr>
        <w:t xml:space="preserve">рава и обязанности </w:t>
      </w:r>
      <w:r>
        <w:rPr>
          <w:b w:val="1"/>
        </w:rPr>
        <w:t>С</w:t>
      </w:r>
      <w:r>
        <w:rPr>
          <w:b w:val="1"/>
        </w:rPr>
        <w:t>торон</w:t>
      </w:r>
    </w:p>
    <w:p w14:paraId="10000000">
      <w:pPr>
        <w:widowControl w:val="1"/>
        <w:ind/>
        <w:jc w:val="both"/>
        <w:rPr>
          <w:b w:val="1"/>
        </w:rPr>
      </w:pPr>
      <w:r>
        <w:rPr>
          <w:b w:val="1"/>
        </w:rPr>
        <w:t>2.1. Обязанности Подрядчика:</w:t>
      </w:r>
    </w:p>
    <w:p w14:paraId="11000000">
      <w:pPr>
        <w:widowControl w:val="0"/>
        <w:numPr>
          <w:ilvl w:val="0"/>
          <w:numId w:val="1"/>
        </w:numPr>
        <w:ind/>
        <w:jc w:val="both"/>
      </w:pPr>
      <w:r>
        <w:t>Приступить к выполнению работ только после письменного разрешения Заказчика.</w:t>
      </w:r>
    </w:p>
    <w:p w14:paraId="12000000">
      <w:pPr>
        <w:widowControl w:val="0"/>
        <w:numPr>
          <w:ilvl w:val="0"/>
          <w:numId w:val="1"/>
        </w:numPr>
        <w:ind/>
        <w:jc w:val="both"/>
      </w:pPr>
      <w:r>
        <w:t>Выполнить работу с надлежащим качеством и в объеме в соответствии с Локальным</w:t>
      </w:r>
      <w:r>
        <w:t xml:space="preserve"> сметным расчетом (приложение №</w:t>
      </w:r>
      <w:r>
        <w:t>____</w:t>
      </w:r>
      <w:r>
        <w:t xml:space="preserve"> к настоящему договору)</w:t>
      </w:r>
      <w:r>
        <w:t>.</w:t>
      </w:r>
    </w:p>
    <w:p w14:paraId="13000000">
      <w:pPr>
        <w:widowControl w:val="0"/>
        <w:numPr>
          <w:ilvl w:val="0"/>
          <w:numId w:val="1"/>
        </w:numPr>
        <w:ind/>
        <w:jc w:val="both"/>
      </w:pPr>
      <w:r>
        <w:t xml:space="preserve">Выполнить все работы по объекту в сроки, предусмотренные настоящим </w:t>
      </w:r>
      <w:r>
        <w:t>Д</w:t>
      </w:r>
      <w:r>
        <w:t>оговором и приложениями к нему, и сдать работу Заказчику в установленный срок.</w:t>
      </w:r>
    </w:p>
    <w:p w14:paraId="14000000">
      <w:pPr>
        <w:widowControl w:val="0"/>
        <w:numPr>
          <w:ilvl w:val="0"/>
          <w:numId w:val="1"/>
        </w:numPr>
        <w:ind/>
        <w:jc w:val="both"/>
      </w:pPr>
      <w:r>
        <w:t>Обеспечить производство и качество всех работ в соответствии с действующими нормами и техническими условиями.</w:t>
      </w:r>
    </w:p>
    <w:p w14:paraId="15000000">
      <w:pPr>
        <w:widowControl w:val="0"/>
        <w:ind/>
        <w:jc w:val="both"/>
      </w:pPr>
      <w:r>
        <w:t>Немедленно известить Заказчика и до получения от него указаний приостановить работы при обнаружении:</w:t>
      </w:r>
    </w:p>
    <w:p w14:paraId="16000000">
      <w:pPr>
        <w:widowControl w:val="1"/>
        <w:ind/>
        <w:contextualSpacing w:val="1"/>
        <w:jc w:val="both"/>
      </w:pPr>
      <w:r>
        <w:t>- возможных неблагоприятных для Заказчика последствий выполнения его указаний о способе исполнения работы;</w:t>
      </w:r>
    </w:p>
    <w:p w14:paraId="17000000">
      <w:pPr>
        <w:widowControl w:val="1"/>
        <w:ind/>
        <w:contextualSpacing w:val="1"/>
        <w:jc w:val="both"/>
      </w:pPr>
      <w:r>
        <w:t>- иных не зависящих от Подрядчика обстоятельств, которые грозят годности или прочности результатов выполняемой работы либо создают невозможность ее завершения в срок.</w:t>
      </w:r>
    </w:p>
    <w:p w14:paraId="18000000">
      <w:pPr>
        <w:widowControl w:val="1"/>
        <w:ind/>
        <w:contextualSpacing w:val="1"/>
        <w:jc w:val="both"/>
      </w:pPr>
      <w:r>
        <w:t>2.1.5</w:t>
      </w:r>
      <w:r>
        <w:t xml:space="preserve">. </w:t>
      </w:r>
      <w:r>
        <w:t>Использовать в ходе выполнения работ</w:t>
      </w:r>
      <w:r>
        <w:t xml:space="preserve"> свои материалы и оборудование</w:t>
      </w:r>
      <w:r>
        <w:t>.</w:t>
      </w:r>
    </w:p>
    <w:p w14:paraId="19000000">
      <w:pPr>
        <w:widowControl w:val="1"/>
        <w:ind/>
        <w:contextualSpacing w:val="1"/>
        <w:jc w:val="both"/>
      </w:pPr>
      <w:r>
        <w:t xml:space="preserve">2.1.6. </w:t>
      </w:r>
      <w:r>
        <w:t xml:space="preserve">Обеспечить при выполнении работ соблюдение норм и правил охраны труда, техники безопасности и противопожарной безопасности, нормативно-правовых актов об охране </w:t>
      </w:r>
      <w:r>
        <w:t>окружающей среды и нести полную ответственность за соблюдение указанных норм и правил.</w:t>
      </w:r>
    </w:p>
    <w:p w14:paraId="1A000000">
      <w:pPr>
        <w:widowControl w:val="0"/>
        <w:numPr>
          <w:ilvl w:val="2"/>
          <w:numId w:val="2"/>
        </w:numPr>
        <w:ind w:firstLine="0" w:left="0"/>
        <w:jc w:val="both"/>
      </w:pPr>
      <w:r>
        <w:t>В течение 2 календарных дней  с момента составления счетов-фактур передать их Заказчику</w:t>
      </w:r>
      <w:r>
        <w:t>.</w:t>
      </w:r>
    </w:p>
    <w:p w14:paraId="1B000000">
      <w:pPr>
        <w:widowControl w:val="0"/>
        <w:numPr>
          <w:ilvl w:val="0"/>
          <w:numId w:val="3"/>
        </w:numPr>
        <w:ind/>
        <w:jc w:val="both"/>
        <w:rPr>
          <w:b w:val="1"/>
        </w:rPr>
      </w:pPr>
      <w:r>
        <w:rPr>
          <w:b w:val="1"/>
        </w:rPr>
        <w:t>Подрядчик вправе:</w:t>
      </w:r>
    </w:p>
    <w:p w14:paraId="1C000000">
      <w:pPr>
        <w:widowControl w:val="1"/>
        <w:ind/>
        <w:jc w:val="both"/>
      </w:pPr>
      <w:r>
        <w:t>2.2.1</w:t>
      </w:r>
      <w:r>
        <w:t>. Самостоятельно определять способы и методы выполнения работ по настоящему Договору, если это не противоречит инструкциям завода изготовителя оборудования.</w:t>
      </w:r>
    </w:p>
    <w:p w14:paraId="1D000000">
      <w:pPr>
        <w:widowControl w:val="1"/>
        <w:ind/>
        <w:jc w:val="both"/>
      </w:pPr>
      <w:r>
        <w:t>2.2.2</w:t>
      </w:r>
      <w:r>
        <w:t xml:space="preserve"> </w:t>
      </w:r>
      <w:r>
        <w:t>З</w:t>
      </w:r>
      <w:r>
        <w:t>акончить работу досрочно.</w:t>
      </w:r>
    </w:p>
    <w:p w14:paraId="1E000000">
      <w:pPr>
        <w:widowControl w:val="0"/>
        <w:numPr>
          <w:ilvl w:val="0"/>
          <w:numId w:val="4"/>
        </w:numPr>
        <w:ind/>
        <w:jc w:val="both"/>
        <w:rPr>
          <w:b w:val="1"/>
        </w:rPr>
      </w:pPr>
      <w:r>
        <w:rPr>
          <w:b w:val="1"/>
        </w:rPr>
        <w:t>Обязанности Заказчика:</w:t>
      </w:r>
    </w:p>
    <w:p w14:paraId="1F000000">
      <w:pPr>
        <w:widowControl w:val="0"/>
        <w:ind/>
        <w:jc w:val="both"/>
      </w:pPr>
      <w:r>
        <w:t xml:space="preserve">2.3.1. </w:t>
      </w:r>
      <w:r>
        <w:t>Обеспечить доступ персоналу и механизмам Подрядчика на объект, передать Подрядчику заводскую документацию необходимые для выполнения работ.</w:t>
      </w:r>
    </w:p>
    <w:p w14:paraId="20000000">
      <w:pPr>
        <w:widowControl w:val="0"/>
        <w:ind/>
        <w:jc w:val="both"/>
      </w:pPr>
      <w:r>
        <w:t xml:space="preserve">2.3.2. </w:t>
      </w:r>
      <w:r>
        <w:t xml:space="preserve">В течение 5 рабочих дней с момента подписания настоящего </w:t>
      </w:r>
      <w:r>
        <w:t>Д</w:t>
      </w:r>
      <w:r>
        <w:t>оговора обеспечить доступ к объекту работ и создать необходимые условия для производства работ.</w:t>
      </w:r>
    </w:p>
    <w:p w14:paraId="21000000">
      <w:pPr>
        <w:widowControl w:val="0"/>
        <w:ind/>
        <w:jc w:val="both"/>
      </w:pPr>
      <w:r>
        <w:t xml:space="preserve">2.3.3. </w:t>
      </w:r>
      <w:r>
        <w:t>Осуществлять контроль и надзор за ходом и качеством выполняемых работ, соблюдением сроков их выполнения, не вмешиваясь при этом в оперативно-хозяйственную деятельность Подрядчика.</w:t>
      </w:r>
    </w:p>
    <w:p w14:paraId="22000000">
      <w:pPr>
        <w:widowControl w:val="0"/>
        <w:ind/>
        <w:jc w:val="both"/>
      </w:pPr>
      <w:r>
        <w:t xml:space="preserve">2.3.4. </w:t>
      </w:r>
      <w:r>
        <w:t xml:space="preserve">Принять выполненные работы в порядке, предусмотренном настоящим </w:t>
      </w:r>
      <w:r>
        <w:t>Д</w:t>
      </w:r>
      <w:r>
        <w:t>оговором. В течение 5 (пяти) рабочих дней рассмотреть и подписать представленные Подрядчиком с сопроводительным письмом Акт о приемке выполненных работ по форме КС-2 и Справки о стоимости выполненных работ и затрат по форме КС-3 или в тот же срок направить Подрядчику обоснованный отказ в подписании.</w:t>
      </w:r>
    </w:p>
    <w:p w14:paraId="23000000">
      <w:pPr>
        <w:widowControl w:val="0"/>
        <w:ind/>
        <w:jc w:val="both"/>
      </w:pPr>
      <w:r>
        <w:t xml:space="preserve">2.3.5. </w:t>
      </w:r>
      <w:r>
        <w:t xml:space="preserve">Оплатить выполненные работы в размере, в сроки и в порядке, предусмотренные настоящим </w:t>
      </w:r>
      <w:r>
        <w:t>Д</w:t>
      </w:r>
      <w:r>
        <w:t>оговором.</w:t>
      </w:r>
    </w:p>
    <w:p w14:paraId="24000000">
      <w:pPr>
        <w:widowControl w:val="0"/>
        <w:ind/>
        <w:jc w:val="both"/>
      </w:pPr>
      <w:r>
        <w:rPr>
          <w:b w:val="1"/>
        </w:rPr>
        <w:t>2.4.</w:t>
      </w:r>
      <w:r>
        <w:rPr>
          <w:b w:val="1"/>
        </w:rPr>
        <w:tab/>
      </w:r>
      <w:r>
        <w:rPr>
          <w:b w:val="1"/>
        </w:rPr>
        <w:t>Права Заказчика:</w:t>
      </w:r>
    </w:p>
    <w:p w14:paraId="25000000">
      <w:pPr>
        <w:widowControl w:val="0"/>
        <w:numPr>
          <w:ilvl w:val="0"/>
          <w:numId w:val="5"/>
        </w:numPr>
        <w:ind/>
        <w:jc w:val="both"/>
      </w:pPr>
      <w:r>
        <w:t>Во всякое время проверять ход и качество работы, выполняемой Подрядчиком, не вмешиваясь в его деятельность.</w:t>
      </w:r>
    </w:p>
    <w:p w14:paraId="26000000">
      <w:pPr>
        <w:widowControl w:val="0"/>
        <w:numPr>
          <w:ilvl w:val="0"/>
          <w:numId w:val="5"/>
        </w:numPr>
        <w:ind/>
        <w:jc w:val="both"/>
      </w:pPr>
      <w:r>
        <w:t xml:space="preserve">Если Подрядчик не приступает своевременно к исполнению настоящего </w:t>
      </w:r>
      <w:r>
        <w:t>Д</w:t>
      </w:r>
      <w:r>
        <w:t xml:space="preserve">оговора или выполняет работу настолько медленно, что окончание ее к сроку становится явно невозможным, Заказчик вправе отказаться от исполнения </w:t>
      </w:r>
      <w:r>
        <w:t>Д</w:t>
      </w:r>
      <w:r>
        <w:t>оговора и потребовать возмещения убытков.</w:t>
      </w:r>
    </w:p>
    <w:p w14:paraId="27000000">
      <w:pPr>
        <w:widowControl w:val="0"/>
        <w:numPr>
          <w:ilvl w:val="0"/>
          <w:numId w:val="5"/>
        </w:numPr>
        <w:ind/>
        <w:jc w:val="both"/>
      </w:pPr>
      <w:r>
        <w:t xml:space="preserve">Если во время выполнения работы станет очевидным, что она не будет выполнена надлежащим образом,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настоящего </w:t>
      </w:r>
      <w:r>
        <w:t>Д</w:t>
      </w:r>
      <w:r>
        <w:t>оговора, либо устранить недостатки своими силами или поручить устранение недостатков третьему лицу с отнесением расходов на Подрядчика, а также потребовать возмещения убытков.</w:t>
      </w:r>
    </w:p>
    <w:p w14:paraId="28000000">
      <w:pPr>
        <w:widowControl w:val="0"/>
        <w:numPr>
          <w:ilvl w:val="0"/>
          <w:numId w:val="5"/>
        </w:numPr>
        <w:ind/>
        <w:jc w:val="both"/>
      </w:pPr>
      <w:r>
        <w:t xml:space="preserve">Заказчик может в любое время до сдачи ему результата работы отказаться от </w:t>
      </w:r>
      <w:r>
        <w:t>Д</w:t>
      </w:r>
      <w:r>
        <w:t xml:space="preserve">оговора, уплатив Подрядчику часть установленной цены пропорционально части работы, выполненной до получения извещения об отказе Заказчика от исполнения </w:t>
      </w:r>
      <w:r>
        <w:t>Д</w:t>
      </w:r>
      <w:r>
        <w:t xml:space="preserve">оговора. </w:t>
      </w:r>
    </w:p>
    <w:p w14:paraId="29000000"/>
    <w:p w14:paraId="2A000000">
      <w:pPr>
        <w:pStyle w:val="Style_2"/>
        <w:widowControl w:val="1"/>
        <w:numPr>
          <w:ilvl w:val="0"/>
          <w:numId w:val="2"/>
        </w:numPr>
        <w:ind w:firstLine="0" w:left="0"/>
        <w:jc w:val="center"/>
        <w:rPr>
          <w:b w:val="1"/>
        </w:rPr>
      </w:pPr>
      <w:r>
        <w:rPr>
          <w:b w:val="1"/>
        </w:rPr>
        <w:t>С</w:t>
      </w:r>
      <w:r>
        <w:rPr>
          <w:b w:val="1"/>
        </w:rPr>
        <w:t>тоимость работ</w:t>
      </w:r>
    </w:p>
    <w:p w14:paraId="2B000000">
      <w:pPr>
        <w:pStyle w:val="Style_3"/>
        <w:widowControl w:val="0"/>
        <w:numPr>
          <w:ilvl w:val="1"/>
          <w:numId w:val="2"/>
        </w:numPr>
        <w:tabs>
          <w:tab w:leader="none" w:pos="0" w:val="left"/>
        </w:tabs>
        <w:spacing w:after="0"/>
        <w:ind w:firstLine="0" w:left="0"/>
        <w:jc w:val="both"/>
      </w:pPr>
      <w:r>
        <w:t xml:space="preserve">Общая стоимость работ по настоящему </w:t>
      </w:r>
      <w:r>
        <w:t>Д</w:t>
      </w:r>
      <w:r>
        <w:t>оговору определяется согласно локальн</w:t>
      </w:r>
      <w:r>
        <w:t xml:space="preserve">ым ресурсным </w:t>
      </w:r>
      <w:r>
        <w:t>сметн</w:t>
      </w:r>
      <w:r>
        <w:t>ым</w:t>
      </w:r>
      <w:r>
        <w:t xml:space="preserve"> расчет</w:t>
      </w:r>
      <w:r>
        <w:t>ам</w:t>
      </w:r>
      <w:r>
        <w:t xml:space="preserve"> (Приложени</w:t>
      </w:r>
      <w:r>
        <w:t>я</w:t>
      </w:r>
      <w:r>
        <w:t xml:space="preserve"> №</w:t>
      </w:r>
      <w:r>
        <w:t xml:space="preserve"> </w:t>
      </w:r>
      <w:r>
        <w:t>______</w:t>
      </w:r>
      <w:r>
        <w:t xml:space="preserve"> к настоящему </w:t>
      </w:r>
      <w:r>
        <w:t>Д</w:t>
      </w:r>
      <w:r>
        <w:t xml:space="preserve">оговору) и составляет </w:t>
      </w:r>
      <w:r>
        <w:t>_____ (_____) рублей __ копеек, в том числе НДС 22% _____ (_____) рублей __ копеек (</w:t>
      </w:r>
      <w:r>
        <w:rPr>
          <w:i w:val="1"/>
        </w:rPr>
        <w:t>в случае, если Подрядчик работает по упрощенной системе налогообложения, необходимо указать – НДС не облагается. Подрядчик применяет УСН и освобожден от обязанностей налогоплательщика на основании п. 1 ст. 145 НК РФ</w:t>
      </w:r>
      <w:r>
        <w:t>).</w:t>
      </w:r>
    </w:p>
    <w:p w14:paraId="2C000000">
      <w:pPr>
        <w:widowControl w:val="0"/>
        <w:ind/>
        <w:jc w:val="both"/>
      </w:pPr>
      <w:r>
        <w:t xml:space="preserve">Окончательная стоимость работ определяется сторонами по фактически выполненным объемам работ согласно </w:t>
      </w:r>
      <w:r>
        <w:rPr>
          <w:color w:val="000000"/>
        </w:rPr>
        <w:t xml:space="preserve">акта </w:t>
      </w:r>
      <w:r>
        <w:rPr>
          <w:color w:val="000000"/>
          <w:spacing w:val="-4"/>
        </w:rPr>
        <w:t xml:space="preserve">сдачи-приемки </w:t>
      </w:r>
      <w:r>
        <w:rPr>
          <w:color w:val="000000"/>
        </w:rPr>
        <w:t xml:space="preserve">выполненных работ, справкам о стоимости выполненных работ (Форма КС-2 и КС-3). В любом случае окончательная стоимость работ не может превышать стоимость, установленную в </w:t>
      </w:r>
      <w:r>
        <w:t>настоящем пункте.</w:t>
      </w:r>
    </w:p>
    <w:p w14:paraId="2D000000">
      <w:pPr>
        <w:widowControl w:val="0"/>
        <w:ind/>
        <w:jc w:val="both"/>
      </w:pPr>
      <w:r>
        <w:t xml:space="preserve">3.2. </w:t>
      </w:r>
      <w:r>
        <w:t xml:space="preserve">Оплата работ по настоящему Договору осуществляется Заказчиком в следующем </w:t>
      </w:r>
      <w:r>
        <w:t>порядке:</w:t>
      </w:r>
    </w:p>
    <w:p w14:paraId="2E000000">
      <w:pPr>
        <w:widowControl w:val="1"/>
        <w:ind/>
        <w:jc w:val="both"/>
      </w:pPr>
      <w:r>
        <w:t>- 100 % от общей стоимости работ оплачиваются Заказчиком в течение 7 рабочих дней с момента подписания Сторонами без замечаний акта выполненных работ (форма КС-2) и справки о стоимости работ (форма КС-3).</w:t>
      </w:r>
    </w:p>
    <w:p w14:paraId="2F000000">
      <w:pPr>
        <w:widowControl w:val="1"/>
        <w:ind/>
        <w:jc w:val="both"/>
      </w:pPr>
      <w:r>
        <w:t>3</w:t>
      </w:r>
      <w:r>
        <w:t>.3. Все платежи по настоящему Договору осуществляются Заказчиком путем безналичного перечисления денежных средств на расчетный счет Подрядчика на основании счетов на оплату, выставляемых Подрядчиком.</w:t>
      </w:r>
    </w:p>
    <w:p w14:paraId="30000000">
      <w:pPr>
        <w:widowControl w:val="1"/>
        <w:ind/>
        <w:jc w:val="both"/>
      </w:pPr>
    </w:p>
    <w:p w14:paraId="31000000">
      <w:pPr>
        <w:pStyle w:val="Style_2"/>
        <w:widowControl w:val="1"/>
        <w:numPr>
          <w:ilvl w:val="0"/>
          <w:numId w:val="2"/>
        </w:numPr>
        <w:ind w:firstLine="0" w:left="0"/>
        <w:jc w:val="center"/>
        <w:rPr>
          <w:b w:val="1"/>
        </w:rPr>
      </w:pPr>
      <w:r>
        <w:rPr>
          <w:b w:val="1"/>
        </w:rPr>
        <w:t>Ответственность Сторон</w:t>
      </w:r>
    </w:p>
    <w:p w14:paraId="32000000">
      <w:pPr>
        <w:widowControl w:val="1"/>
        <w:ind/>
        <w:jc w:val="both"/>
      </w:pPr>
      <w:r>
        <w:t>4</w:t>
      </w:r>
      <w:r>
        <w:t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14:paraId="33000000">
      <w:pPr>
        <w:widowControl w:val="1"/>
        <w:ind/>
        <w:jc w:val="both"/>
      </w:pPr>
      <w:r>
        <w:t>4</w:t>
      </w:r>
      <w:r>
        <w:t>.2. Сторона, нарушившая договор, обязана возместить другой стороне причиненные таким нарушением убытки.</w:t>
      </w:r>
    </w:p>
    <w:p w14:paraId="34000000">
      <w:pPr>
        <w:widowControl w:val="1"/>
        <w:ind/>
        <w:jc w:val="both"/>
      </w:pPr>
      <w:r>
        <w:t>4.3</w:t>
      </w:r>
      <w:r>
        <w:t xml:space="preserve">. </w:t>
      </w:r>
      <w:r>
        <w:t xml:space="preserve">В случаях, когда работы выполнены Подрядчиком с отступлениями от настоящего </w:t>
      </w:r>
      <w:r>
        <w:t>Д</w:t>
      </w:r>
      <w:r>
        <w:t>оговора, ухудшившими результат работы, Подрядчик безвозмездно устраняет недостатки в срок, согласованный с Заказчиком, а также возмещает Заказчику причиненные убытки.</w:t>
      </w:r>
    </w:p>
    <w:p w14:paraId="35000000">
      <w:pPr>
        <w:widowControl w:val="1"/>
        <w:ind/>
        <w:jc w:val="both"/>
      </w:pPr>
      <w:r>
        <w:t>Подрядчик вправе вместо устранения недостатков, за которые он отвечает, безвозмездно выполнить работу заново с возмещением Заказчику причиненных просрочкой исполнения убытков. В этом случае Заказчик вправе назначить срок для выполнения работы и обязан обеспечить доступ на объект.</w:t>
      </w:r>
    </w:p>
    <w:p w14:paraId="36000000">
      <w:pPr>
        <w:widowControl w:val="1"/>
        <w:ind/>
        <w:jc w:val="both"/>
      </w:pPr>
      <w:r>
        <w:t xml:space="preserve">Если отступления в работе от условий </w:t>
      </w:r>
      <w:r>
        <w:t>Д</w:t>
      </w:r>
      <w:r>
        <w:t xml:space="preserve">оговора подряда или иные недостатки результата работы в установленный Заказчиком срок не были устранены, либо являются неустранимыми и существенными, Заказчик вправе отказаться от исполнения </w:t>
      </w:r>
      <w:r>
        <w:t>Д</w:t>
      </w:r>
      <w:r>
        <w:t>оговора и потребовать возмещения причиненных убытков.</w:t>
      </w:r>
    </w:p>
    <w:p w14:paraId="37000000">
      <w:pPr>
        <w:widowControl w:val="1"/>
        <w:ind/>
        <w:jc w:val="both"/>
      </w:pPr>
      <w:r>
        <w:t>4.4</w:t>
      </w:r>
      <w:r>
        <w:t xml:space="preserve">. </w:t>
      </w:r>
      <w:r>
        <w:t>За ущерб, причиненный третьему лицу в процессе выполнения работ, отвечает Подрядчик, если не докажет, что ущерб был причинен вследствие обстоятельств, за которые отвечает Заказчик.</w:t>
      </w:r>
    </w:p>
    <w:p w14:paraId="38000000">
      <w:pPr>
        <w:widowControl w:val="1"/>
        <w:ind/>
        <w:jc w:val="both"/>
      </w:pPr>
      <w:r>
        <w:t>4.5</w:t>
      </w:r>
      <w:r>
        <w:t xml:space="preserve">. </w:t>
      </w:r>
      <w:r>
        <w:t>Риск случайной гибели или случайного повреждения материалов или оборудования несет предоставившая их сторона.</w:t>
      </w:r>
    </w:p>
    <w:p w14:paraId="39000000">
      <w:pPr>
        <w:widowControl w:val="1"/>
        <w:ind/>
        <w:jc w:val="both"/>
      </w:pPr>
      <w:r>
        <w:t>4.6</w:t>
      </w:r>
      <w:r>
        <w:t xml:space="preserve">. </w:t>
      </w:r>
      <w:r>
        <w:t>Риск случайной гибели или случайного повреждения результата выполненной работы до ее приемки Заказчиком несет Подрядчик.</w:t>
      </w:r>
    </w:p>
    <w:p w14:paraId="3A000000">
      <w:pPr>
        <w:widowControl w:val="1"/>
        <w:ind/>
        <w:jc w:val="both"/>
      </w:pPr>
      <w:r>
        <w:t>4.7</w:t>
      </w:r>
      <w:r>
        <w:t xml:space="preserve">. </w:t>
      </w:r>
      <w:r>
        <w:t xml:space="preserve">В случае нарушения сроков выполнения работ Подрядчик оплачивает Заказчику неустойку в размере 0,1 % от </w:t>
      </w:r>
      <w:r>
        <w:t xml:space="preserve">общей </w:t>
      </w:r>
      <w:r>
        <w:t>стоимости</w:t>
      </w:r>
      <w:r>
        <w:t xml:space="preserve"> работ по Договору</w:t>
      </w:r>
      <w:r>
        <w:t xml:space="preserve"> за каждый день просрочки.</w:t>
      </w:r>
    </w:p>
    <w:p w14:paraId="3B000000">
      <w:pPr>
        <w:widowControl w:val="1"/>
        <w:ind/>
        <w:jc w:val="both"/>
      </w:pPr>
      <w:r>
        <w:t>4.8</w:t>
      </w:r>
      <w:r>
        <w:t xml:space="preserve">. </w:t>
      </w:r>
      <w:r>
        <w:t xml:space="preserve">Выплата неустойки и возмещение убытков не освобождают сторону, нарушившую </w:t>
      </w:r>
      <w:r>
        <w:t>Д</w:t>
      </w:r>
      <w:r>
        <w:t>оговор, от исполнения своих обязательств в натуре.</w:t>
      </w:r>
    </w:p>
    <w:p w14:paraId="3C000000">
      <w:pPr>
        <w:widowControl w:val="1"/>
        <w:ind/>
        <w:jc w:val="both"/>
      </w:pPr>
      <w:r>
        <w:t>4.9</w:t>
      </w:r>
      <w:r>
        <w:t xml:space="preserve">. </w:t>
      </w:r>
      <w:r>
        <w:t>Скрытые недостатки, обнаруженные Заказчиком после приемки работ подлежат безвозмездному устранению Подрядчиком в течение 10 дней с момента его уведомления.</w:t>
      </w:r>
    </w:p>
    <w:p w14:paraId="3D000000">
      <w:pPr>
        <w:widowControl w:val="1"/>
        <w:ind/>
        <w:jc w:val="both"/>
        <w:rPr>
          <w:i w:val="1"/>
        </w:rPr>
      </w:pPr>
      <w:r>
        <w:t>4.10</w:t>
      </w:r>
      <w:r>
        <w:t xml:space="preserve">. </w:t>
      </w:r>
      <w:r>
        <w:t>В случае нарушения Подрядчиком сроков составления счетов-фактур, установленных п. 3 ст. 168 Налогового кодекса РФ, и (или) их передачи Заказчику (п. 2.1.</w:t>
      </w:r>
      <w:r>
        <w:t>7</w:t>
      </w:r>
      <w:r>
        <w:t>. Договора), Подрядчик обязан уплатить Заказчику штраф в раз</w:t>
      </w:r>
      <w:r>
        <w:t xml:space="preserve">мере 1% от стоимости работ (п. </w:t>
      </w:r>
      <w:r>
        <w:t>3</w:t>
      </w:r>
      <w:r>
        <w:t xml:space="preserve">.1. Договора) в течение 3 дней с момента получения письменного требования Заказчика. </w:t>
      </w:r>
      <w:r>
        <w:rPr>
          <w:i w:val="1"/>
        </w:rPr>
        <w:t>(в случае применения Подрядчиком ОСНО)</w:t>
      </w:r>
    </w:p>
    <w:p w14:paraId="3E000000">
      <w:pPr>
        <w:widowControl w:val="1"/>
        <w:ind/>
        <w:jc w:val="both"/>
      </w:pPr>
      <w:r>
        <w:t>4.11</w:t>
      </w:r>
      <w:r>
        <w:t xml:space="preserve">. </w:t>
      </w:r>
      <w:r>
        <w:t>Стороны пришли к соглашению, что проценты в соответствии со ст. 317.1 ГК РФ по настоящему Договору не начисляются.</w:t>
      </w:r>
    </w:p>
    <w:p w14:paraId="3F000000">
      <w:pPr>
        <w:pStyle w:val="Style_3"/>
        <w:widowControl w:val="0"/>
        <w:spacing w:after="0"/>
        <w:ind/>
        <w:jc w:val="both"/>
      </w:pPr>
    </w:p>
    <w:p w14:paraId="40000000">
      <w:pPr>
        <w:widowControl w:val="1"/>
        <w:ind/>
        <w:jc w:val="center"/>
        <w:rPr>
          <w:b w:val="1"/>
        </w:rPr>
      </w:pPr>
      <w:r>
        <w:rPr>
          <w:b w:val="1"/>
        </w:rPr>
        <w:t>5</w:t>
      </w:r>
      <w:r>
        <w:rPr>
          <w:b w:val="1"/>
        </w:rPr>
        <w:t>. Г</w:t>
      </w:r>
      <w:r>
        <w:rPr>
          <w:b w:val="1"/>
        </w:rPr>
        <w:t>арантийные обязательства</w:t>
      </w:r>
    </w:p>
    <w:p w14:paraId="41000000">
      <w:pPr>
        <w:pStyle w:val="Style_2"/>
        <w:widowControl w:val="0"/>
        <w:numPr>
          <w:ilvl w:val="1"/>
          <w:numId w:val="6"/>
        </w:numPr>
        <w:ind w:firstLine="0" w:left="0"/>
        <w:jc w:val="both"/>
      </w:pPr>
      <w:r>
        <w:t>Подрядчик, гарантирует качество выполняемых работ в соответствии с действу</w:t>
      </w:r>
      <w:r>
        <w:t>ю</w:t>
      </w:r>
      <w:r>
        <w:t>щ</w:t>
      </w:r>
      <w:r>
        <w:t>ими нормативно-правовыми актами.</w:t>
      </w:r>
    </w:p>
    <w:p w14:paraId="42000000">
      <w:pPr>
        <w:pStyle w:val="Style_2"/>
        <w:widowControl w:val="0"/>
        <w:numPr>
          <w:ilvl w:val="1"/>
          <w:numId w:val="6"/>
        </w:numPr>
        <w:ind w:firstLine="0" w:left="0"/>
        <w:jc w:val="both"/>
      </w:pPr>
      <w:r>
        <w:t xml:space="preserve">Подрядчик устанавливает гарантийный срок на выполненные работы – </w:t>
      </w:r>
      <w:r>
        <w:t>12</w:t>
      </w:r>
      <w:r>
        <w:t xml:space="preserve"> месяц</w:t>
      </w:r>
      <w:r>
        <w:t>ев</w:t>
      </w:r>
      <w:r>
        <w:t xml:space="preserve"> с момента подписания сторонами акта сдачи-приемки выполненных работ. В течение этого срока Подрядчик гарантирует надлежащее качество выполненных работ.</w:t>
      </w:r>
    </w:p>
    <w:p w14:paraId="43000000">
      <w:pPr>
        <w:pStyle w:val="Style_2"/>
        <w:widowControl w:val="0"/>
        <w:numPr>
          <w:ilvl w:val="1"/>
          <w:numId w:val="6"/>
        </w:numPr>
        <w:ind w:firstLine="0" w:left="0"/>
        <w:jc w:val="both"/>
      </w:pPr>
      <w:r>
        <w:t xml:space="preserve">В случае выявления несоответствия передаваемых Заказчику результатов работы требованиям </w:t>
      </w:r>
      <w:r>
        <w:t>нормативно-правовых актов</w:t>
      </w:r>
      <w:r>
        <w:t xml:space="preserve"> до истечения гарант</w:t>
      </w:r>
      <w:r>
        <w:t>ийного срока указанного в настояще</w:t>
      </w:r>
      <w:r>
        <w:t>м</w:t>
      </w:r>
      <w:r>
        <w:t xml:space="preserve"> Договор</w:t>
      </w:r>
      <w:r>
        <w:t>е</w:t>
      </w:r>
      <w:r>
        <w:t xml:space="preserve">, составляется двухсторонний акт с перечнем недостатков и сроками их устранения. Подрядчик в 5-ти </w:t>
      </w:r>
      <w:r>
        <w:t>дневный</w:t>
      </w:r>
      <w:r>
        <w:t xml:space="preserve"> срок обязуется подписать вышеуказанный акт, либо направить Заказчику мотивированный отказ. В случае, если направленный акт не подписан Подрядчиком в течение указанного срока, основанием для устранения недостатков является односторонний акт, составленный и подписанный Заказчиком. Недостатки, возникшие по вине Подрядчика, устраняются за счет средств Подрядчика в сроки, указанные в акте.</w:t>
      </w:r>
    </w:p>
    <w:p w14:paraId="44000000">
      <w:pPr>
        <w:widowControl w:val="0"/>
        <w:ind/>
        <w:jc w:val="both"/>
      </w:pPr>
    </w:p>
    <w:p w14:paraId="45000000">
      <w:pPr>
        <w:widowControl w:val="1"/>
        <w:ind/>
        <w:jc w:val="center"/>
        <w:rPr>
          <w:b w:val="1"/>
        </w:rPr>
      </w:pPr>
      <w:r>
        <w:rPr>
          <w:b w:val="1"/>
        </w:rPr>
        <w:t>6</w:t>
      </w:r>
      <w:r>
        <w:rPr>
          <w:b w:val="1"/>
        </w:rPr>
        <w:t>. Н</w:t>
      </w:r>
      <w:r>
        <w:rPr>
          <w:b w:val="1"/>
        </w:rPr>
        <w:t>епреодолимая сила (форс-мажорные обстоятельства)</w:t>
      </w:r>
    </w:p>
    <w:p w14:paraId="46000000">
      <w:pPr>
        <w:pStyle w:val="Style_2"/>
        <w:widowControl w:val="0"/>
        <w:numPr>
          <w:ilvl w:val="1"/>
          <w:numId w:val="7"/>
        </w:numPr>
        <w:ind w:firstLine="0" w:left="0"/>
        <w:jc w:val="both"/>
      </w:pPr>
      <w:r>
        <w:t xml:space="preserve">Стороны освобождаются от ответственности за частичное или полное неисполнение обязательств по настоящему </w:t>
      </w:r>
      <w:r>
        <w:t>Д</w:t>
      </w:r>
      <w:r>
        <w:t>оговору, если неисполнение явилось следствием природных явлений, действий внешних объективных факторов и прочих обстоятельств непреодолимой силы, за которые стороны не отвечают и предотвратить неблагоприятное воздействие которых, они не имеют возможности.</w:t>
      </w:r>
    </w:p>
    <w:p w14:paraId="47000000"/>
    <w:p w14:paraId="48000000">
      <w:pPr>
        <w:widowControl w:val="1"/>
        <w:ind/>
        <w:jc w:val="center"/>
        <w:rPr>
          <w:b w:val="1"/>
        </w:rPr>
      </w:pPr>
      <w:r>
        <w:rPr>
          <w:b w:val="1"/>
        </w:rPr>
        <w:t>7</w:t>
      </w:r>
      <w:r>
        <w:rPr>
          <w:b w:val="1"/>
        </w:rPr>
        <w:t>. С</w:t>
      </w:r>
      <w:r>
        <w:rPr>
          <w:b w:val="1"/>
        </w:rPr>
        <w:t>рок действия договора</w:t>
      </w:r>
    </w:p>
    <w:p w14:paraId="49000000">
      <w:pPr>
        <w:pStyle w:val="Style_2"/>
        <w:widowControl w:val="0"/>
        <w:numPr>
          <w:ilvl w:val="1"/>
          <w:numId w:val="8"/>
        </w:numPr>
        <w:ind w:firstLine="0" w:left="0"/>
        <w:jc w:val="both"/>
      </w:pPr>
      <w:r>
        <w:t xml:space="preserve">Настоящий </w:t>
      </w:r>
      <w:r>
        <w:t>Д</w:t>
      </w:r>
      <w:r>
        <w:t xml:space="preserve">оговор вступает в силу с момента подписания и действует до полного исполнения сторонами своих обязательств по </w:t>
      </w:r>
      <w:r>
        <w:t>Д</w:t>
      </w:r>
      <w:r>
        <w:t xml:space="preserve">оговору. </w:t>
      </w:r>
    </w:p>
    <w:p w14:paraId="4A000000">
      <w:pPr>
        <w:pStyle w:val="Style_2"/>
        <w:widowControl w:val="0"/>
        <w:numPr>
          <w:ilvl w:val="1"/>
          <w:numId w:val="8"/>
        </w:numPr>
        <w:ind w:firstLine="0" w:left="0"/>
        <w:jc w:val="both"/>
      </w:pPr>
      <w:r>
        <w:t xml:space="preserve">Настоящий </w:t>
      </w:r>
      <w:r>
        <w:t>Д</w:t>
      </w:r>
      <w:r>
        <w:t>оговор может быть расторгнут досрочно в следующих случаях:</w:t>
      </w:r>
    </w:p>
    <w:p w14:paraId="4B000000">
      <w:pPr>
        <w:widowControl w:val="1"/>
        <w:ind/>
        <w:jc w:val="both"/>
      </w:pPr>
      <w:r>
        <w:t>- по письменному соглашению сторон;</w:t>
      </w:r>
    </w:p>
    <w:p w14:paraId="4C000000">
      <w:pPr>
        <w:widowControl w:val="1"/>
        <w:ind/>
        <w:jc w:val="both"/>
      </w:pPr>
      <w:r>
        <w:t xml:space="preserve">- в одностороннем порядке при отказе одной из сторон от настоящего </w:t>
      </w:r>
      <w:r>
        <w:t>Д</w:t>
      </w:r>
      <w:r>
        <w:t xml:space="preserve">оговора в случаях, когда возможность такого отказа предусмотрена законом или настоящим </w:t>
      </w:r>
      <w:r>
        <w:t>Д</w:t>
      </w:r>
      <w:r>
        <w:t>оговором;</w:t>
      </w:r>
    </w:p>
    <w:p w14:paraId="4D000000">
      <w:pPr>
        <w:widowControl w:val="1"/>
        <w:ind/>
        <w:jc w:val="both"/>
      </w:pPr>
      <w:r>
        <w:t>- в иных случаях, предусмотренных законом или соглашением сторон.</w:t>
      </w:r>
    </w:p>
    <w:p w14:paraId="4E000000">
      <w:pPr>
        <w:widowControl w:val="1"/>
        <w:ind/>
        <w:jc w:val="both"/>
        <w:rPr>
          <w:rStyle w:val="Style_4_ch"/>
          <w:sz w:val="24"/>
        </w:rPr>
      </w:pPr>
      <w:r>
        <w:t xml:space="preserve">7.3. </w:t>
      </w:r>
      <w:r>
        <w:t>Заказчик вправе расторгнуть настоящий Договор в одностороннем внесудебном порядке в любое время до истечения его срока действия при условии письменного уведомления Подрядчика. При этом Договор считается расторгнутым по истечении 30 дней с момента направления Заказчиком соответствующего уведомления.</w:t>
      </w:r>
    </w:p>
    <w:p w14:paraId="4F000000"/>
    <w:p w14:paraId="50000000">
      <w:pPr>
        <w:widowControl w:val="1"/>
        <w:ind/>
        <w:jc w:val="center"/>
        <w:rPr>
          <w:b w:val="1"/>
        </w:rPr>
      </w:pPr>
      <w:r>
        <w:rPr>
          <w:b w:val="1"/>
        </w:rPr>
        <w:t>8</w:t>
      </w:r>
      <w:r>
        <w:rPr>
          <w:b w:val="1"/>
        </w:rPr>
        <w:t>. Р</w:t>
      </w:r>
      <w:r>
        <w:rPr>
          <w:b w:val="1"/>
        </w:rPr>
        <w:t>азрешение споров</w:t>
      </w:r>
    </w:p>
    <w:p w14:paraId="51000000">
      <w:pPr>
        <w:pStyle w:val="Style_2"/>
        <w:widowControl w:val="0"/>
        <w:numPr>
          <w:ilvl w:val="1"/>
          <w:numId w:val="9"/>
        </w:numPr>
        <w:ind w:firstLine="0" w:left="0"/>
        <w:jc w:val="both"/>
      </w:pPr>
      <w:r>
        <w:t>Все споры и разногласия, которые могут возникнуть между сторонами, будут разрешаться путем переговоров.</w:t>
      </w:r>
    </w:p>
    <w:p w14:paraId="52000000">
      <w:pPr>
        <w:pStyle w:val="Style_2"/>
        <w:widowControl w:val="0"/>
        <w:numPr>
          <w:ilvl w:val="1"/>
          <w:numId w:val="9"/>
        </w:numPr>
        <w:ind w:firstLine="0" w:left="0"/>
        <w:jc w:val="both"/>
      </w:pPr>
      <w:r>
        <w:t>Претензионный порядок урегулирования спора является обязательным для Сторон. Срок рассмотрения претензии 15 (пятнадцать) календарных дней с момента получения.</w:t>
      </w:r>
    </w:p>
    <w:p w14:paraId="53000000">
      <w:pPr>
        <w:pStyle w:val="Style_2"/>
        <w:widowControl w:val="0"/>
        <w:numPr>
          <w:ilvl w:val="1"/>
          <w:numId w:val="9"/>
        </w:numPr>
        <w:ind w:firstLine="0" w:left="0"/>
        <w:jc w:val="both"/>
      </w:pPr>
      <w:r>
        <w:t>При не урегулировании в процессе переговоров спорных вопросов споры разрешаются в Арбитражном суде Краснодарского края.</w:t>
      </w:r>
    </w:p>
    <w:p w14:paraId="54000000">
      <w:pPr>
        <w:pStyle w:val="Style_2"/>
        <w:widowControl w:val="0"/>
        <w:ind w:left="0"/>
        <w:jc w:val="both"/>
      </w:pPr>
    </w:p>
    <w:p w14:paraId="55000000">
      <w:pPr>
        <w:widowControl w:val="1"/>
        <w:ind/>
        <w:jc w:val="center"/>
        <w:rPr>
          <w:b w:val="1"/>
        </w:rPr>
      </w:pPr>
      <w:r>
        <w:rPr>
          <w:b w:val="1"/>
        </w:rPr>
        <w:t>9</w:t>
      </w:r>
      <w:r>
        <w:rPr>
          <w:b w:val="1"/>
        </w:rPr>
        <w:t>. З</w:t>
      </w:r>
      <w:r>
        <w:rPr>
          <w:b w:val="1"/>
        </w:rPr>
        <w:t>аключительные положения</w:t>
      </w:r>
    </w:p>
    <w:p w14:paraId="56000000">
      <w:pPr>
        <w:pStyle w:val="Style_2"/>
        <w:widowControl w:val="0"/>
        <w:numPr>
          <w:ilvl w:val="1"/>
          <w:numId w:val="10"/>
        </w:numPr>
        <w:ind w:firstLine="0" w:left="0"/>
        <w:jc w:val="both"/>
      </w:pPr>
      <w:r>
        <w:t xml:space="preserve">Во всем остальном, что не предусмотрено настоящим </w:t>
      </w:r>
      <w:r>
        <w:t>Д</w:t>
      </w:r>
      <w:r>
        <w:t>оговором, стороны руководствуются действующим законодательством Российской Федерации.</w:t>
      </w:r>
    </w:p>
    <w:p w14:paraId="57000000">
      <w:pPr>
        <w:pStyle w:val="Style_2"/>
        <w:widowControl w:val="0"/>
        <w:numPr>
          <w:ilvl w:val="1"/>
          <w:numId w:val="10"/>
        </w:numPr>
        <w:ind w:firstLine="0" w:left="0"/>
        <w:jc w:val="both"/>
      </w:pPr>
      <w:r>
        <w:t xml:space="preserve">Любые изменения и дополнения к настоящему </w:t>
      </w:r>
      <w:r>
        <w:t>Д</w:t>
      </w:r>
      <w:r>
        <w:t>оговору действительны при условии, если они совершены в письменной форме и подписаны надлежаще</w:t>
      </w:r>
      <w:r>
        <w:t xml:space="preserve"> </w:t>
      </w:r>
      <w:r>
        <w:t>уполномоченными на то представителями сторон.</w:t>
      </w:r>
    </w:p>
    <w:p w14:paraId="58000000">
      <w:pPr>
        <w:pStyle w:val="Style_2"/>
        <w:widowControl w:val="0"/>
        <w:numPr>
          <w:ilvl w:val="1"/>
          <w:numId w:val="10"/>
        </w:numPr>
        <w:ind w:firstLine="0" w:left="0"/>
        <w:jc w:val="both"/>
      </w:pPr>
      <w:r>
        <w:t xml:space="preserve">Все уведомления и сообщения должны направляться в письменной форме. Сообщения будут считаться исполненными надлежащим образом, если они посланы </w:t>
      </w:r>
      <w:r>
        <w:t>заказным письмом,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59000000">
      <w:pPr>
        <w:pStyle w:val="Style_2"/>
        <w:widowControl w:val="0"/>
        <w:numPr>
          <w:ilvl w:val="1"/>
          <w:numId w:val="10"/>
        </w:numPr>
        <w:ind w:firstLine="0" w:left="0"/>
        <w:jc w:val="both"/>
      </w:pPr>
      <w:r>
        <w:t xml:space="preserve">Настоящий </w:t>
      </w:r>
      <w:r>
        <w:t>Д</w:t>
      </w:r>
      <w:r>
        <w:t>оговор составлен в двух экземплярах, имеющих одинаковую юридическую силу, по одному экземпляру для каждой из сторон.</w:t>
      </w:r>
    </w:p>
    <w:p w14:paraId="5A000000">
      <w:pPr>
        <w:widowControl w:val="0"/>
        <w:ind/>
      </w:pPr>
    </w:p>
    <w:p w14:paraId="5B000000">
      <w:pPr>
        <w:widowControl w:val="0"/>
        <w:ind/>
        <w:jc w:val="center"/>
        <w:rPr>
          <w:b w:val="1"/>
        </w:rPr>
      </w:pPr>
      <w:r>
        <w:rPr>
          <w:b w:val="1"/>
        </w:rPr>
        <w:t>1</w:t>
      </w:r>
      <w:r>
        <w:rPr>
          <w:b w:val="1"/>
        </w:rPr>
        <w:t>0</w:t>
      </w:r>
      <w:r>
        <w:rPr>
          <w:b w:val="1"/>
        </w:rPr>
        <w:t>. П</w:t>
      </w:r>
      <w:r>
        <w:rPr>
          <w:b w:val="1"/>
        </w:rPr>
        <w:t>риложения к договору</w:t>
      </w:r>
    </w:p>
    <w:p w14:paraId="5C000000">
      <w:pPr>
        <w:pStyle w:val="Style_2"/>
        <w:widowControl w:val="0"/>
        <w:numPr>
          <w:ilvl w:val="1"/>
          <w:numId w:val="11"/>
        </w:numPr>
        <w:tabs>
          <w:tab w:leader="none" w:pos="720" w:val="left"/>
        </w:tabs>
        <w:ind w:firstLine="0" w:left="0"/>
        <w:jc w:val="both"/>
      </w:pPr>
      <w:r>
        <w:t xml:space="preserve">Все приложения настоящего </w:t>
      </w:r>
      <w:r>
        <w:t>Д</w:t>
      </w:r>
      <w:r>
        <w:t xml:space="preserve">оговора являются его неотъемлемыми частями. Настоящий </w:t>
      </w:r>
      <w:r>
        <w:t>Д</w:t>
      </w:r>
      <w:r>
        <w:t>оговор и его Приложения являются взаимодополняющими.</w:t>
      </w:r>
    </w:p>
    <w:p w14:paraId="5D000000">
      <w:pPr>
        <w:pStyle w:val="Style_2"/>
        <w:widowControl w:val="0"/>
        <w:numPr>
          <w:ilvl w:val="1"/>
          <w:numId w:val="11"/>
        </w:numPr>
        <w:tabs>
          <w:tab w:leader="none" w:pos="720" w:val="left"/>
        </w:tabs>
        <w:ind w:firstLine="0" w:left="0"/>
        <w:jc w:val="both"/>
      </w:pPr>
      <w:r>
        <w:t xml:space="preserve">Перечень приложений к настоящему </w:t>
      </w:r>
      <w:r>
        <w:t>Д</w:t>
      </w:r>
      <w:r>
        <w:t>оговору:</w:t>
      </w:r>
    </w:p>
    <w:p w14:paraId="5E000000">
      <w:pPr>
        <w:widowControl w:val="1"/>
        <w:ind/>
        <w:jc w:val="both"/>
      </w:pPr>
      <w:r>
        <w:t>Приложения №____</w:t>
      </w:r>
      <w:r>
        <w:t>График производства работ;</w:t>
      </w:r>
    </w:p>
    <w:p w14:paraId="5F000000">
      <w:pPr>
        <w:widowControl w:val="1"/>
        <w:ind/>
        <w:jc w:val="both"/>
      </w:pPr>
      <w:r>
        <w:t>Приложение №</w:t>
      </w:r>
      <w:r>
        <w:t>____</w:t>
      </w:r>
      <w:r>
        <w:t>Локальные ресурсные сметные расчеты.</w:t>
      </w:r>
    </w:p>
    <w:p w14:paraId="60000000">
      <w:pPr>
        <w:widowControl w:val="0"/>
        <w:ind/>
        <w:jc w:val="both"/>
      </w:pPr>
    </w:p>
    <w:p w14:paraId="61000000">
      <w:pPr>
        <w:rPr>
          <w:b w:val="1"/>
        </w:rPr>
      </w:pPr>
    </w:p>
    <w:p w14:paraId="62000000">
      <w:pPr>
        <w:widowControl w:val="1"/>
        <w:ind/>
        <w:jc w:val="center"/>
        <w:rPr>
          <w:b w:val="1"/>
        </w:rPr>
      </w:pPr>
      <w:r>
        <w:rPr>
          <w:b w:val="1"/>
        </w:rPr>
        <w:t>11</w:t>
      </w:r>
      <w:r>
        <w:rPr>
          <w:b w:val="1"/>
        </w:rPr>
        <w:t>. Юридические адреса, реквизиты и подписи Сторон</w:t>
      </w:r>
    </w:p>
    <w:p w14:paraId="63000000">
      <w:pPr>
        <w:widowControl w:val="1"/>
        <w:ind/>
        <w:jc w:val="center"/>
        <w:rPr>
          <w:b w:val="1"/>
        </w:rPr>
      </w:pPr>
    </w:p>
    <w:tbl>
      <w:tblPr>
        <w:tblStyle w:val="Style_5"/>
        <w:tblW w:type="auto" w:w="0"/>
        <w:tblLayout w:type="fixed"/>
      </w:tblPr>
      <w:tblGrid>
        <w:gridCol w:w="4787"/>
        <w:gridCol w:w="4783"/>
      </w:tblGrid>
      <w:tr>
        <w:tc>
          <w:tcPr>
            <w:tcW w:type="dxa" w:w="47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64000000">
            <w:pPr>
              <w:rPr>
                <w:b w:val="1"/>
                <w:color w:val="000000"/>
              </w:rPr>
            </w:pPr>
            <w:r>
              <w:rPr>
                <w:b w:val="1"/>
              </w:rPr>
              <w:t>Подрядчик:</w:t>
            </w:r>
          </w:p>
          <w:p w14:paraId="65000000">
            <w:pPr>
              <w:rPr>
                <w:b w:val="1"/>
              </w:rPr>
            </w:pPr>
            <w:r>
              <w:rPr>
                <w:b w:val="1"/>
              </w:rPr>
              <w:t>______________</w:t>
            </w:r>
          </w:p>
          <w:p w14:paraId="66000000">
            <w:r>
              <w:t>__________________________</w:t>
            </w:r>
          </w:p>
          <w:p w14:paraId="67000000">
            <w:r>
              <w:t>__________________________</w:t>
            </w:r>
          </w:p>
          <w:p w14:paraId="68000000">
            <w:r>
              <w:t>__________________________</w:t>
            </w:r>
          </w:p>
          <w:p w14:paraId="69000000">
            <w:r>
              <w:t>__________________________</w:t>
            </w:r>
          </w:p>
          <w:p w14:paraId="6A000000"/>
          <w:p w14:paraId="6B000000"/>
          <w:p w14:paraId="6C000000"/>
          <w:p w14:paraId="6D000000"/>
          <w:p w14:paraId="6E000000"/>
          <w:p w14:paraId="6F000000"/>
          <w:p w14:paraId="70000000"/>
          <w:p w14:paraId="71000000"/>
          <w:p w14:paraId="72000000"/>
          <w:p w14:paraId="73000000"/>
          <w:p w14:paraId="74000000">
            <w:pPr>
              <w:rPr>
                <w:color w:val="000000"/>
              </w:rPr>
            </w:pPr>
            <w:r>
              <w:rPr>
                <w:color w:val="000000"/>
              </w:rPr>
              <w:t>_____________</w:t>
            </w:r>
          </w:p>
          <w:p w14:paraId="75000000">
            <w:pPr>
              <w:rPr>
                <w:color w:val="000000"/>
              </w:rPr>
            </w:pPr>
          </w:p>
          <w:p w14:paraId="76000000">
            <w:r>
              <w:t>___________________ /</w:t>
            </w:r>
            <w:r>
              <w:rPr>
                <w:color w:val="000000"/>
              </w:rPr>
              <w:t>_________</w:t>
            </w:r>
            <w:r>
              <w:t>/</w:t>
            </w:r>
          </w:p>
          <w:p w14:paraId="77000000">
            <w:r>
              <w:t>«____»______________202_ г.</w:t>
            </w:r>
          </w:p>
        </w:tc>
        <w:tc>
          <w:tcPr>
            <w:tcW w:type="dxa" w:w="47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8000000">
            <w:pPr>
              <w:widowControl w:val="1"/>
              <w:ind/>
              <w:outlineLvl w:val="0"/>
              <w:rPr>
                <w:b w:val="1"/>
              </w:rPr>
            </w:pPr>
            <w:r>
              <w:rPr>
                <w:b w:val="1"/>
              </w:rPr>
              <w:t>Заказчик:</w:t>
            </w:r>
          </w:p>
          <w:p w14:paraId="79000000">
            <w:pPr>
              <w:widowControl w:val="1"/>
              <w:ind/>
              <w:outlineLvl w:val="0"/>
              <w:rPr>
                <w:b w:val="1"/>
              </w:rPr>
            </w:pPr>
            <w:r>
              <w:rPr>
                <w:b w:val="1"/>
              </w:rPr>
              <w:t>АО «Электросети Кубани»</w:t>
            </w:r>
          </w:p>
          <w:p w14:paraId="7A000000">
            <w:pPr>
              <w:widowControl w:val="1"/>
              <w:ind/>
              <w:jc w:val="both"/>
            </w:pPr>
            <w:r>
              <w:t>Юридический адрес–350049, г. Краснодар, ул. Красных Партизан, д. 192</w:t>
            </w:r>
          </w:p>
          <w:p w14:paraId="7B000000">
            <w:pPr>
              <w:widowControl w:val="1"/>
              <w:ind/>
              <w:jc w:val="both"/>
            </w:pPr>
            <w:r>
              <w:t>Фактический адрес-350049, г. Краснодар, ул. Красных Партизан, д. 192</w:t>
            </w:r>
          </w:p>
          <w:p w14:paraId="7C000000">
            <w:pPr>
              <w:widowControl w:val="1"/>
              <w:ind/>
              <w:jc w:val="both"/>
            </w:pPr>
            <w:r>
              <w:t>ИНН/КПП 2308139496/230801001</w:t>
            </w:r>
          </w:p>
          <w:p w14:paraId="7D000000">
            <w:pPr>
              <w:widowControl w:val="1"/>
              <w:ind/>
              <w:jc w:val="both"/>
            </w:pPr>
            <w:r>
              <w:t>телефон (861) 992-11-00, (861) 992-10-99</w:t>
            </w:r>
          </w:p>
          <w:p w14:paraId="7E000000">
            <w:pPr>
              <w:widowControl w:val="1"/>
              <w:ind/>
              <w:jc w:val="both"/>
            </w:pPr>
            <w:r>
              <w:fldChar w:fldCharType="begin"/>
            </w:r>
            <w:r>
              <w:instrText>HYPERLINK "mailto:info@kubels.ru"</w:instrText>
            </w:r>
            <w:r>
              <w:fldChar w:fldCharType="separate"/>
            </w:r>
            <w:r>
              <w:t>info@kubels.ru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>HYPERLINK "http://www.kubels.ru/"</w:instrText>
            </w:r>
            <w:r>
              <w:fldChar w:fldCharType="separate"/>
            </w:r>
            <w:r>
              <w:t>www.kubels.ru</w:t>
            </w:r>
            <w:r>
              <w:fldChar w:fldCharType="end"/>
            </w:r>
          </w:p>
          <w:p w14:paraId="7F000000">
            <w:pPr>
              <w:widowControl w:val="1"/>
              <w:ind/>
              <w:jc w:val="both"/>
            </w:pPr>
            <w:r>
              <w:t>Банковские реквизиты:</w:t>
            </w:r>
          </w:p>
          <w:p w14:paraId="80000000">
            <w:pPr>
              <w:widowControl w:val="1"/>
              <w:ind/>
              <w:jc w:val="both"/>
            </w:pPr>
            <w:r>
              <w:t>КРАСНОДАРСКОЕ ОТДЕЛЕНИЕ N8619</w:t>
            </w:r>
          </w:p>
          <w:p w14:paraId="81000000">
            <w:pPr>
              <w:widowControl w:val="1"/>
              <w:ind/>
              <w:jc w:val="both"/>
            </w:pPr>
            <w:r>
              <w:t>ПАО СБЕРБАНК Г. КРАСНОДАР</w:t>
            </w:r>
          </w:p>
          <w:p w14:paraId="82000000">
            <w:pPr>
              <w:widowControl w:val="1"/>
              <w:ind/>
              <w:jc w:val="both"/>
            </w:pPr>
            <w:r>
              <w:t>БИК 040349602</w:t>
            </w:r>
          </w:p>
          <w:p w14:paraId="83000000">
            <w:pPr>
              <w:widowControl w:val="1"/>
              <w:ind/>
              <w:jc w:val="both"/>
            </w:pPr>
            <w:r>
              <w:t>к/с 301 018 101 000 000 00 602</w:t>
            </w:r>
          </w:p>
          <w:p w14:paraId="84000000">
            <w:pPr>
              <w:widowControl w:val="1"/>
              <w:ind/>
              <w:jc w:val="both"/>
            </w:pPr>
            <w:r>
              <w:t>р</w:t>
            </w:r>
            <w:r>
              <w:t>/с 407 028 108 300 000 01 208</w:t>
            </w:r>
          </w:p>
          <w:p w14:paraId="85000000">
            <w:pPr>
              <w:widowControl w:val="1"/>
              <w:ind/>
              <w:outlineLvl w:val="0"/>
            </w:pPr>
          </w:p>
          <w:p w14:paraId="86000000">
            <w:pPr>
              <w:widowControl w:val="1"/>
              <w:ind/>
              <w:outlineLvl w:val="0"/>
            </w:pPr>
            <w:r>
              <w:t>_______________</w:t>
            </w:r>
          </w:p>
          <w:p w14:paraId="87000000">
            <w:pPr>
              <w:widowControl w:val="1"/>
              <w:ind/>
              <w:outlineLvl w:val="0"/>
              <w:rPr>
                <w:b w:val="1"/>
              </w:rPr>
            </w:pPr>
          </w:p>
          <w:p w14:paraId="88000000">
            <w:pPr>
              <w:widowControl w:val="1"/>
              <w:tabs>
                <w:tab w:leader="none" w:pos="2606" w:val="left"/>
              </w:tabs>
              <w:ind/>
              <w:outlineLvl w:val="0"/>
            </w:pPr>
            <w:r>
              <w:t>_______________ /____________/</w:t>
            </w:r>
          </w:p>
          <w:p w14:paraId="89000000">
            <w:r>
              <w:t>«____»_______________202_ г.</w:t>
            </w:r>
          </w:p>
        </w:tc>
      </w:tr>
    </w:tbl>
    <w:p w14:paraId="8A000000">
      <w:pPr>
        <w:widowControl w:val="1"/>
        <w:ind/>
        <w:jc w:val="right"/>
      </w:pPr>
    </w:p>
    <w:p w14:paraId="8B000000"/>
    <w:p w14:paraId="8C000000"/>
    <w:p w14:paraId="8D000000">
      <w:pPr>
        <w:rPr>
          <w:b w:val="1"/>
        </w:rPr>
      </w:pPr>
    </w:p>
    <w:sectPr>
      <w:footerReference r:id="rId1" w:type="default"/>
      <w:footerReference r:id="rId2" w:type="first"/>
      <w:pgSz w:h="16838" w:orient="portrait" w:w="11906"/>
      <w:pgMar w:bottom="1134" w:footer="709" w:gutter="0" w:header="709" w:left="1701" w:right="709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right="360"/>
      <w:rPr>
        <w:sz w:val="20"/>
      </w:rPr>
    </w:pPr>
    <w:r>
      <w:rPr>
        <w:sz w:val="20"/>
      </w:rPr>
      <w:t>Подрядчик ________________________                         Заказчик ___________________________</w: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 w:right="360"/>
      <w:rPr>
        <w:sz w:val="20"/>
      </w:rPr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2.1.%1."/>
      <w:lvlJc w:val="left"/>
      <w:pPr>
        <w:widowControl w:val="1"/>
        <w:tabs>
          <w:tab w:leader="none" w:pos="0" w:val="left"/>
        </w:tabs>
        <w:ind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widowControl w:val="1"/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widowControl w:val="1"/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3600" w:val="left"/>
        </w:tabs>
        <w:ind w:hanging="360" w:left="3600"/>
      </w:pPr>
    </w:lvl>
  </w:abstractNum>
  <w:abstractNum w:abstractNumId="1">
    <w:lvl w:ilvl="0">
      <w:start w:val="2"/>
      <w:numFmt w:val="decimal"/>
      <w:lvlText w:val="%1."/>
      <w:lvlJc w:val="left"/>
      <w:pPr>
        <w:widowControl w:val="1"/>
        <w:ind w:hanging="540" w:left="540"/>
      </w:pPr>
    </w:lvl>
    <w:lvl w:ilvl="1">
      <w:start w:val="1"/>
      <w:numFmt w:val="decimal"/>
      <w:lvlText w:val="%1.%2."/>
      <w:lvlJc w:val="left"/>
      <w:pPr>
        <w:widowControl w:val="1"/>
        <w:ind w:hanging="540" w:left="540"/>
      </w:pPr>
    </w:lvl>
    <w:lvl w:ilvl="2">
      <w:start w:val="7"/>
      <w:numFmt w:val="decimal"/>
      <w:lvlText w:val="%1.%2.%3."/>
      <w:lvlJc w:val="left"/>
      <w:pPr>
        <w:widowControl w:val="1"/>
        <w:ind w:hanging="720" w:left="720"/>
      </w:pPr>
    </w:lvl>
    <w:lvl w:ilvl="3">
      <w:start w:val="1"/>
      <w:numFmt w:val="decimal"/>
      <w:lvlText w:val="%1.%2.%3.%4."/>
      <w:lvlJc w:val="left"/>
      <w:pPr>
        <w:widowControl w:val="1"/>
        <w:ind w:hanging="720" w:left="720"/>
      </w:pPr>
    </w:lvl>
    <w:lvl w:ilvl="4">
      <w:start w:val="1"/>
      <w:numFmt w:val="decimal"/>
      <w:lvlText w:val="%1.%2.%3.%4.%5."/>
      <w:lvlJc w:val="left"/>
      <w:pPr>
        <w:widowControl w:val="1"/>
        <w:ind w:hanging="1080" w:left="1080"/>
      </w:pPr>
    </w:lvl>
    <w:lvl w:ilvl="5">
      <w:start w:val="1"/>
      <w:numFmt w:val="decimal"/>
      <w:lvlText w:val="%1.%2.%3.%4.%5.%6."/>
      <w:lvlJc w:val="left"/>
      <w:pPr>
        <w:widowControl w:val="1"/>
        <w:ind w:hanging="1080" w:left="1080"/>
      </w:pPr>
    </w:lvl>
    <w:lvl w:ilvl="6">
      <w:start w:val="1"/>
      <w:numFmt w:val="decimal"/>
      <w:lvlText w:val="%1.%2.%3.%4.%5.%6.%7."/>
      <w:lvlJc w:val="left"/>
      <w:pPr>
        <w:widowControl w:val="1"/>
        <w:ind w:hanging="1440" w:left="1440"/>
      </w:pPr>
    </w:lvl>
    <w:lvl w:ilvl="7">
      <w:start w:val="1"/>
      <w:numFmt w:val="decimal"/>
      <w:lvlText w:val="%1.%2.%3.%4.%5.%6.%7.%8."/>
      <w:lvlJc w:val="left"/>
      <w:pPr>
        <w:widowControl w:val="1"/>
        <w:ind w:hanging="1440" w:left="1440"/>
      </w:pPr>
    </w:lvl>
    <w:lvl w:ilvl="8">
      <w:start w:val="1"/>
      <w:numFmt w:val="decimal"/>
      <w:lvlText w:val="%1.%2.%3.%4.%5.%6.%7.%8.%9."/>
      <w:lvlJc w:val="left"/>
      <w:pPr>
        <w:widowControl w:val="1"/>
        <w:ind w:hanging="1800" w:left="1800"/>
      </w:pPr>
    </w:lvl>
  </w:abstractNum>
  <w:abstractNum w:abstractNumId="2">
    <w:lvl w:ilvl="0">
      <w:start w:val="2"/>
      <w:numFmt w:val="decimal"/>
      <w:lvlText w:val="2.%1."/>
      <w:lvlJc w:val="left"/>
      <w:pPr>
        <w:widowControl w:val="1"/>
        <w:tabs>
          <w:tab w:leader="none" w:pos="0" w:val="left"/>
        </w:tabs>
        <w:ind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widowControl w:val="1"/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widowControl w:val="1"/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3600" w:val="left"/>
        </w:tabs>
        <w:ind w:hanging="360" w:left="3600"/>
      </w:pPr>
    </w:lvl>
  </w:abstractNum>
  <w:abstractNum w:abstractNumId="3">
    <w:lvl w:ilvl="0">
      <w:start w:val="3"/>
      <w:numFmt w:val="decimal"/>
      <w:lvlText w:val="2.%1."/>
      <w:lvlJc w:val="left"/>
      <w:pPr>
        <w:widowControl w:val="1"/>
        <w:tabs>
          <w:tab w:leader="none" w:pos="0" w:val="left"/>
        </w:tabs>
        <w:ind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widowControl w:val="1"/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widowControl w:val="1"/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3600" w:val="left"/>
        </w:tabs>
        <w:ind w:hanging="360" w:left="3600"/>
      </w:pPr>
    </w:lvl>
  </w:abstractNum>
  <w:abstractNum w:abstractNumId="4">
    <w:lvl w:ilvl="0">
      <w:start w:val="1"/>
      <w:numFmt w:val="decimal"/>
      <w:lvlText w:val="2.4.%1."/>
      <w:lvlJc w:val="left"/>
      <w:pPr>
        <w:widowControl w:val="1"/>
        <w:tabs>
          <w:tab w:leader="none" w:pos="0" w:val="left"/>
        </w:tabs>
        <w:ind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widowControl w:val="1"/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widowControl w:val="1"/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3600" w:val="left"/>
        </w:tabs>
        <w:ind w:hanging="360" w:left="3600"/>
      </w:pPr>
    </w:lvl>
  </w:abstractNum>
  <w:abstractNum w:abstractNumId="5">
    <w:lvl w:ilvl="0">
      <w:start w:val="5"/>
      <w:numFmt w:val="decimal"/>
      <w:lvlText w:val="%1."/>
      <w:lvlJc w:val="left"/>
      <w:pPr>
        <w:widowControl w:val="1"/>
        <w:ind w:hanging="360" w:left="360"/>
      </w:pPr>
    </w:lvl>
    <w:lvl w:ilvl="1">
      <w:start w:val="1"/>
      <w:numFmt w:val="decimal"/>
      <w:lvlText w:val="%1.%2."/>
      <w:lvlJc w:val="left"/>
      <w:pPr>
        <w:widowControl w:val="1"/>
        <w:ind w:hanging="360" w:left="360"/>
      </w:pPr>
    </w:lvl>
    <w:lvl w:ilvl="2">
      <w:start w:val="1"/>
      <w:numFmt w:val="decimal"/>
      <w:lvlText w:val="%1.%2.%3."/>
      <w:lvlJc w:val="left"/>
      <w:pPr>
        <w:widowControl w:val="1"/>
        <w:ind w:hanging="720" w:left="720"/>
      </w:pPr>
    </w:lvl>
    <w:lvl w:ilvl="3">
      <w:start w:val="1"/>
      <w:numFmt w:val="decimal"/>
      <w:lvlText w:val="%1.%2.%3.%4."/>
      <w:lvlJc w:val="left"/>
      <w:pPr>
        <w:widowControl w:val="1"/>
        <w:ind w:hanging="720" w:left="720"/>
      </w:pPr>
    </w:lvl>
    <w:lvl w:ilvl="4">
      <w:start w:val="1"/>
      <w:numFmt w:val="decimal"/>
      <w:lvlText w:val="%1.%2.%3.%4.%5."/>
      <w:lvlJc w:val="left"/>
      <w:pPr>
        <w:widowControl w:val="1"/>
        <w:ind w:hanging="1080" w:left="1080"/>
      </w:pPr>
    </w:lvl>
    <w:lvl w:ilvl="5">
      <w:start w:val="1"/>
      <w:numFmt w:val="decimal"/>
      <w:lvlText w:val="%1.%2.%3.%4.%5.%6."/>
      <w:lvlJc w:val="left"/>
      <w:pPr>
        <w:widowControl w:val="1"/>
        <w:ind w:hanging="1080" w:left="1080"/>
      </w:pPr>
    </w:lvl>
    <w:lvl w:ilvl="6">
      <w:start w:val="1"/>
      <w:numFmt w:val="decimal"/>
      <w:lvlText w:val="%1.%2.%3.%4.%5.%6.%7."/>
      <w:lvlJc w:val="left"/>
      <w:pPr>
        <w:widowControl w:val="1"/>
        <w:ind w:hanging="1440" w:left="1440"/>
      </w:pPr>
    </w:lvl>
    <w:lvl w:ilvl="7">
      <w:start w:val="1"/>
      <w:numFmt w:val="decimal"/>
      <w:lvlText w:val="%1.%2.%3.%4.%5.%6.%7.%8."/>
      <w:lvlJc w:val="left"/>
      <w:pPr>
        <w:widowControl w:val="1"/>
        <w:ind w:hanging="1440" w:left="1440"/>
      </w:pPr>
    </w:lvl>
    <w:lvl w:ilvl="8">
      <w:start w:val="1"/>
      <w:numFmt w:val="decimal"/>
      <w:lvlText w:val="%1.%2.%3.%4.%5.%6.%7.%8.%9."/>
      <w:lvlJc w:val="left"/>
      <w:pPr>
        <w:widowControl w:val="1"/>
        <w:ind w:hanging="1800" w:left="1800"/>
      </w:pPr>
    </w:lvl>
  </w:abstractNum>
  <w:abstractNum w:abstractNumId="6">
    <w:lvl w:ilvl="0">
      <w:start w:val="6"/>
      <w:numFmt w:val="decimal"/>
      <w:lvlText w:val="%1."/>
      <w:lvlJc w:val="left"/>
      <w:pPr>
        <w:widowControl w:val="1"/>
        <w:ind w:hanging="360" w:left="360"/>
      </w:pPr>
    </w:lvl>
    <w:lvl w:ilvl="1">
      <w:start w:val="1"/>
      <w:numFmt w:val="decimal"/>
      <w:lvlText w:val="%1.%2."/>
      <w:lvlJc w:val="left"/>
      <w:pPr>
        <w:widowControl w:val="1"/>
        <w:ind w:hanging="360" w:left="360"/>
      </w:pPr>
    </w:lvl>
    <w:lvl w:ilvl="2">
      <w:start w:val="1"/>
      <w:numFmt w:val="decimal"/>
      <w:lvlText w:val="%1.%2.%3."/>
      <w:lvlJc w:val="left"/>
      <w:pPr>
        <w:widowControl w:val="1"/>
        <w:ind w:hanging="720" w:left="720"/>
      </w:pPr>
    </w:lvl>
    <w:lvl w:ilvl="3">
      <w:start w:val="1"/>
      <w:numFmt w:val="decimal"/>
      <w:lvlText w:val="%1.%2.%3.%4."/>
      <w:lvlJc w:val="left"/>
      <w:pPr>
        <w:widowControl w:val="1"/>
        <w:ind w:hanging="720" w:left="720"/>
      </w:pPr>
    </w:lvl>
    <w:lvl w:ilvl="4">
      <w:start w:val="1"/>
      <w:numFmt w:val="decimal"/>
      <w:lvlText w:val="%1.%2.%3.%4.%5."/>
      <w:lvlJc w:val="left"/>
      <w:pPr>
        <w:widowControl w:val="1"/>
        <w:ind w:hanging="1080" w:left="1080"/>
      </w:pPr>
    </w:lvl>
    <w:lvl w:ilvl="5">
      <w:start w:val="1"/>
      <w:numFmt w:val="decimal"/>
      <w:lvlText w:val="%1.%2.%3.%4.%5.%6."/>
      <w:lvlJc w:val="left"/>
      <w:pPr>
        <w:widowControl w:val="1"/>
        <w:ind w:hanging="1080" w:left="1080"/>
      </w:pPr>
    </w:lvl>
    <w:lvl w:ilvl="6">
      <w:start w:val="1"/>
      <w:numFmt w:val="decimal"/>
      <w:lvlText w:val="%1.%2.%3.%4.%5.%6.%7."/>
      <w:lvlJc w:val="left"/>
      <w:pPr>
        <w:widowControl w:val="1"/>
        <w:ind w:hanging="1440" w:left="1440"/>
      </w:pPr>
    </w:lvl>
    <w:lvl w:ilvl="7">
      <w:start w:val="1"/>
      <w:numFmt w:val="decimal"/>
      <w:lvlText w:val="%1.%2.%3.%4.%5.%6.%7.%8."/>
      <w:lvlJc w:val="left"/>
      <w:pPr>
        <w:widowControl w:val="1"/>
        <w:ind w:hanging="1440" w:left="1440"/>
      </w:pPr>
    </w:lvl>
    <w:lvl w:ilvl="8">
      <w:start w:val="1"/>
      <w:numFmt w:val="decimal"/>
      <w:lvlText w:val="%1.%2.%3.%4.%5.%6.%7.%8.%9."/>
      <w:lvlJc w:val="left"/>
      <w:pPr>
        <w:widowControl w:val="1"/>
        <w:ind w:hanging="1800" w:left="1800"/>
      </w:pPr>
    </w:lvl>
  </w:abstractNum>
  <w:abstractNum w:abstractNumId="7">
    <w:lvl w:ilvl="0">
      <w:start w:val="7"/>
      <w:numFmt w:val="decimal"/>
      <w:lvlText w:val="%1."/>
      <w:lvlJc w:val="left"/>
      <w:pPr>
        <w:widowControl w:val="1"/>
        <w:ind w:hanging="360" w:left="360"/>
      </w:pPr>
    </w:lvl>
    <w:lvl w:ilvl="1">
      <w:start w:val="1"/>
      <w:numFmt w:val="decimal"/>
      <w:lvlText w:val="%1.%2."/>
      <w:lvlJc w:val="left"/>
      <w:pPr>
        <w:widowControl w:val="1"/>
        <w:ind w:hanging="360" w:left="360"/>
      </w:pPr>
    </w:lvl>
    <w:lvl w:ilvl="2">
      <w:start w:val="1"/>
      <w:numFmt w:val="decimal"/>
      <w:lvlText w:val="%1.%2.%3."/>
      <w:lvlJc w:val="left"/>
      <w:pPr>
        <w:widowControl w:val="1"/>
        <w:ind w:hanging="720" w:left="720"/>
      </w:pPr>
    </w:lvl>
    <w:lvl w:ilvl="3">
      <w:start w:val="1"/>
      <w:numFmt w:val="decimal"/>
      <w:lvlText w:val="%1.%2.%3.%4."/>
      <w:lvlJc w:val="left"/>
      <w:pPr>
        <w:widowControl w:val="1"/>
        <w:ind w:hanging="720" w:left="720"/>
      </w:pPr>
    </w:lvl>
    <w:lvl w:ilvl="4">
      <w:start w:val="1"/>
      <w:numFmt w:val="decimal"/>
      <w:lvlText w:val="%1.%2.%3.%4.%5."/>
      <w:lvlJc w:val="left"/>
      <w:pPr>
        <w:widowControl w:val="1"/>
        <w:ind w:hanging="1080" w:left="1080"/>
      </w:pPr>
    </w:lvl>
    <w:lvl w:ilvl="5">
      <w:start w:val="1"/>
      <w:numFmt w:val="decimal"/>
      <w:lvlText w:val="%1.%2.%3.%4.%5.%6."/>
      <w:lvlJc w:val="left"/>
      <w:pPr>
        <w:widowControl w:val="1"/>
        <w:ind w:hanging="1080" w:left="1080"/>
      </w:pPr>
    </w:lvl>
    <w:lvl w:ilvl="6">
      <w:start w:val="1"/>
      <w:numFmt w:val="decimal"/>
      <w:lvlText w:val="%1.%2.%3.%4.%5.%6.%7."/>
      <w:lvlJc w:val="left"/>
      <w:pPr>
        <w:widowControl w:val="1"/>
        <w:ind w:hanging="1440" w:left="1440"/>
      </w:pPr>
    </w:lvl>
    <w:lvl w:ilvl="7">
      <w:start w:val="1"/>
      <w:numFmt w:val="decimal"/>
      <w:lvlText w:val="%1.%2.%3.%4.%5.%6.%7.%8."/>
      <w:lvlJc w:val="left"/>
      <w:pPr>
        <w:widowControl w:val="1"/>
        <w:ind w:hanging="1440" w:left="1440"/>
      </w:pPr>
    </w:lvl>
    <w:lvl w:ilvl="8">
      <w:start w:val="1"/>
      <w:numFmt w:val="decimal"/>
      <w:lvlText w:val="%1.%2.%3.%4.%5.%6.%7.%8.%9."/>
      <w:lvlJc w:val="left"/>
      <w:pPr>
        <w:widowControl w:val="1"/>
        <w:ind w:hanging="1800" w:left="1800"/>
      </w:pPr>
    </w:lvl>
  </w:abstractNum>
  <w:abstractNum w:abstractNumId="8">
    <w:lvl w:ilvl="0">
      <w:start w:val="8"/>
      <w:numFmt w:val="decimal"/>
      <w:lvlText w:val="%1."/>
      <w:lvlJc w:val="left"/>
      <w:pPr>
        <w:widowControl w:val="1"/>
        <w:ind w:hanging="360" w:left="360"/>
      </w:pPr>
    </w:lvl>
    <w:lvl w:ilvl="1">
      <w:start w:val="1"/>
      <w:numFmt w:val="decimal"/>
      <w:lvlText w:val="%1.%2."/>
      <w:lvlJc w:val="left"/>
      <w:pPr>
        <w:widowControl w:val="1"/>
        <w:ind w:hanging="360" w:left="360"/>
      </w:pPr>
    </w:lvl>
    <w:lvl w:ilvl="2">
      <w:start w:val="1"/>
      <w:numFmt w:val="decimal"/>
      <w:lvlText w:val="%1.%2.%3."/>
      <w:lvlJc w:val="left"/>
      <w:pPr>
        <w:widowControl w:val="1"/>
        <w:ind w:hanging="720" w:left="720"/>
      </w:pPr>
    </w:lvl>
    <w:lvl w:ilvl="3">
      <w:start w:val="1"/>
      <w:numFmt w:val="decimal"/>
      <w:lvlText w:val="%1.%2.%3.%4."/>
      <w:lvlJc w:val="left"/>
      <w:pPr>
        <w:widowControl w:val="1"/>
        <w:ind w:hanging="720" w:left="720"/>
      </w:pPr>
    </w:lvl>
    <w:lvl w:ilvl="4">
      <w:start w:val="1"/>
      <w:numFmt w:val="decimal"/>
      <w:lvlText w:val="%1.%2.%3.%4.%5."/>
      <w:lvlJc w:val="left"/>
      <w:pPr>
        <w:widowControl w:val="1"/>
        <w:ind w:hanging="1080" w:left="1080"/>
      </w:pPr>
    </w:lvl>
    <w:lvl w:ilvl="5">
      <w:start w:val="1"/>
      <w:numFmt w:val="decimal"/>
      <w:lvlText w:val="%1.%2.%3.%4.%5.%6."/>
      <w:lvlJc w:val="left"/>
      <w:pPr>
        <w:widowControl w:val="1"/>
        <w:ind w:hanging="1080" w:left="1080"/>
      </w:pPr>
    </w:lvl>
    <w:lvl w:ilvl="6">
      <w:start w:val="1"/>
      <w:numFmt w:val="decimal"/>
      <w:lvlText w:val="%1.%2.%3.%4.%5.%6.%7."/>
      <w:lvlJc w:val="left"/>
      <w:pPr>
        <w:widowControl w:val="1"/>
        <w:ind w:hanging="1440" w:left="1440"/>
      </w:pPr>
    </w:lvl>
    <w:lvl w:ilvl="7">
      <w:start w:val="1"/>
      <w:numFmt w:val="decimal"/>
      <w:lvlText w:val="%1.%2.%3.%4.%5.%6.%7.%8."/>
      <w:lvlJc w:val="left"/>
      <w:pPr>
        <w:widowControl w:val="1"/>
        <w:ind w:hanging="1440" w:left="1440"/>
      </w:pPr>
    </w:lvl>
    <w:lvl w:ilvl="8">
      <w:start w:val="1"/>
      <w:numFmt w:val="decimal"/>
      <w:lvlText w:val="%1.%2.%3.%4.%5.%6.%7.%8.%9."/>
      <w:lvlJc w:val="left"/>
      <w:pPr>
        <w:widowControl w:val="1"/>
        <w:ind w:hanging="1800" w:left="1800"/>
      </w:pPr>
    </w:lvl>
  </w:abstractNum>
  <w:abstractNum w:abstractNumId="9">
    <w:lvl w:ilvl="0">
      <w:start w:val="9"/>
      <w:numFmt w:val="decimal"/>
      <w:lvlText w:val="%1."/>
      <w:lvlJc w:val="left"/>
      <w:pPr>
        <w:widowControl w:val="1"/>
        <w:ind w:hanging="360" w:left="360"/>
      </w:pPr>
    </w:lvl>
    <w:lvl w:ilvl="1">
      <w:start w:val="1"/>
      <w:numFmt w:val="decimal"/>
      <w:lvlText w:val="%1.%2."/>
      <w:lvlJc w:val="left"/>
      <w:pPr>
        <w:widowControl w:val="1"/>
        <w:ind w:hanging="360" w:left="360"/>
      </w:pPr>
    </w:lvl>
    <w:lvl w:ilvl="2">
      <w:start w:val="1"/>
      <w:numFmt w:val="decimal"/>
      <w:lvlText w:val="%1.%2.%3."/>
      <w:lvlJc w:val="left"/>
      <w:pPr>
        <w:widowControl w:val="1"/>
        <w:ind w:hanging="720" w:left="720"/>
      </w:pPr>
    </w:lvl>
    <w:lvl w:ilvl="3">
      <w:start w:val="1"/>
      <w:numFmt w:val="decimal"/>
      <w:lvlText w:val="%1.%2.%3.%4."/>
      <w:lvlJc w:val="left"/>
      <w:pPr>
        <w:widowControl w:val="1"/>
        <w:ind w:hanging="720" w:left="720"/>
      </w:pPr>
    </w:lvl>
    <w:lvl w:ilvl="4">
      <w:start w:val="1"/>
      <w:numFmt w:val="decimal"/>
      <w:lvlText w:val="%1.%2.%3.%4.%5."/>
      <w:lvlJc w:val="left"/>
      <w:pPr>
        <w:widowControl w:val="1"/>
        <w:ind w:hanging="1080" w:left="1080"/>
      </w:pPr>
    </w:lvl>
    <w:lvl w:ilvl="5">
      <w:start w:val="1"/>
      <w:numFmt w:val="decimal"/>
      <w:lvlText w:val="%1.%2.%3.%4.%5.%6."/>
      <w:lvlJc w:val="left"/>
      <w:pPr>
        <w:widowControl w:val="1"/>
        <w:ind w:hanging="1080" w:left="1080"/>
      </w:pPr>
    </w:lvl>
    <w:lvl w:ilvl="6">
      <w:start w:val="1"/>
      <w:numFmt w:val="decimal"/>
      <w:lvlText w:val="%1.%2.%3.%4.%5.%6.%7."/>
      <w:lvlJc w:val="left"/>
      <w:pPr>
        <w:widowControl w:val="1"/>
        <w:ind w:hanging="1440" w:left="1440"/>
      </w:pPr>
    </w:lvl>
    <w:lvl w:ilvl="7">
      <w:start w:val="1"/>
      <w:numFmt w:val="decimal"/>
      <w:lvlText w:val="%1.%2.%3.%4.%5.%6.%7.%8."/>
      <w:lvlJc w:val="left"/>
      <w:pPr>
        <w:widowControl w:val="1"/>
        <w:ind w:hanging="1440" w:left="1440"/>
      </w:pPr>
    </w:lvl>
    <w:lvl w:ilvl="8">
      <w:start w:val="1"/>
      <w:numFmt w:val="decimal"/>
      <w:lvlText w:val="%1.%2.%3.%4.%5.%6.%7.%8.%9."/>
      <w:lvlJc w:val="left"/>
      <w:pPr>
        <w:widowControl w:val="1"/>
        <w:ind w:hanging="1800" w:left="1800"/>
      </w:pPr>
    </w:lvl>
  </w:abstractNum>
  <w:abstractNum w:abstractNumId="10">
    <w:lvl w:ilvl="0">
      <w:start w:val="10"/>
      <w:numFmt w:val="decimal"/>
      <w:lvlText w:val="%1."/>
      <w:lvlJc w:val="left"/>
      <w:pPr>
        <w:widowControl w:val="1"/>
        <w:ind w:hanging="480" w:left="480"/>
      </w:pPr>
    </w:lvl>
    <w:lvl w:ilvl="1">
      <w:start w:val="1"/>
      <w:numFmt w:val="decimal"/>
      <w:lvlText w:val="%1.%2."/>
      <w:lvlJc w:val="left"/>
      <w:pPr>
        <w:widowControl w:val="1"/>
        <w:ind w:hanging="480" w:left="480"/>
      </w:pPr>
    </w:lvl>
    <w:lvl w:ilvl="2">
      <w:start w:val="1"/>
      <w:numFmt w:val="decimal"/>
      <w:lvlText w:val="%1.%2.%3."/>
      <w:lvlJc w:val="left"/>
      <w:pPr>
        <w:widowControl w:val="1"/>
        <w:ind w:hanging="720" w:left="720"/>
      </w:pPr>
    </w:lvl>
    <w:lvl w:ilvl="3">
      <w:start w:val="1"/>
      <w:numFmt w:val="decimal"/>
      <w:lvlText w:val="%1.%2.%3.%4."/>
      <w:lvlJc w:val="left"/>
      <w:pPr>
        <w:widowControl w:val="1"/>
        <w:ind w:hanging="720" w:left="720"/>
      </w:pPr>
    </w:lvl>
    <w:lvl w:ilvl="4">
      <w:start w:val="1"/>
      <w:numFmt w:val="decimal"/>
      <w:lvlText w:val="%1.%2.%3.%4.%5."/>
      <w:lvlJc w:val="left"/>
      <w:pPr>
        <w:widowControl w:val="1"/>
        <w:ind w:hanging="1080" w:left="1080"/>
      </w:pPr>
    </w:lvl>
    <w:lvl w:ilvl="5">
      <w:start w:val="1"/>
      <w:numFmt w:val="decimal"/>
      <w:lvlText w:val="%1.%2.%3.%4.%5.%6."/>
      <w:lvlJc w:val="left"/>
      <w:pPr>
        <w:widowControl w:val="1"/>
        <w:ind w:hanging="1080" w:left="1080"/>
      </w:pPr>
    </w:lvl>
    <w:lvl w:ilvl="6">
      <w:start w:val="1"/>
      <w:numFmt w:val="decimal"/>
      <w:lvlText w:val="%1.%2.%3.%4.%5.%6.%7."/>
      <w:lvlJc w:val="left"/>
      <w:pPr>
        <w:widowControl w:val="1"/>
        <w:ind w:hanging="1440" w:left="1440"/>
      </w:pPr>
    </w:lvl>
    <w:lvl w:ilvl="7">
      <w:start w:val="1"/>
      <w:numFmt w:val="decimal"/>
      <w:lvlText w:val="%1.%2.%3.%4.%5.%6.%7.%8."/>
      <w:lvlJc w:val="left"/>
      <w:pPr>
        <w:widowControl w:val="1"/>
        <w:ind w:hanging="1440" w:left="1440"/>
      </w:pPr>
    </w:lvl>
    <w:lvl w:ilvl="8">
      <w:start w:val="1"/>
      <w:numFmt w:val="decimal"/>
      <w:lvlText w:val="%1.%2.%3.%4.%5.%6.%7.%8.%9."/>
      <w:lvlJc w:val="left"/>
      <w:pPr>
        <w:widowControl w:val="1"/>
        <w:ind w:hanging="1800" w:left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  <w:sz w:val="24"/>
    </w:rPr>
  </w:style>
  <w:style w:default="1" w:styleId="Style_6_ch" w:type="character">
    <w:name w:val="Normal"/>
    <w:link w:val="Style_6"/>
    <w:rPr>
      <w:rFonts w:ascii="Times New Roman" w:hAnsi="Times New Roman"/>
      <w:sz w:val="24"/>
    </w:rPr>
  </w:style>
  <w:style w:styleId="Style_7" w:type="paragraph">
    <w:name w:val="Balloon Text"/>
    <w:basedOn w:val="Style_6"/>
    <w:link w:val="Style_7_ch"/>
    <w:rPr>
      <w:rFonts w:ascii="Tahoma" w:hAnsi="Tahoma"/>
      <w:sz w:val="16"/>
    </w:rPr>
  </w:style>
  <w:style w:styleId="Style_7_ch" w:type="character">
    <w:name w:val="Balloon Text"/>
    <w:basedOn w:val="Style_6_ch"/>
    <w:link w:val="Style_7"/>
    <w:rPr>
      <w:rFonts w:ascii="Tahoma" w:hAnsi="Tahoma"/>
      <w:sz w:val="16"/>
    </w:rPr>
  </w:style>
  <w:style w:styleId="Style_8" w:type="paragraph">
    <w:name w:val="toc 2"/>
    <w:next w:val="Style_6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List"/>
    <w:basedOn w:val="Style_3"/>
    <w:link w:val="Style_12_ch"/>
    <w:rPr>
      <w:rFonts w:ascii="PT Astra Serif" w:hAnsi="PT Astra Serif"/>
    </w:rPr>
  </w:style>
  <w:style w:styleId="Style_12_ch" w:type="character">
    <w:name w:val="List"/>
    <w:basedOn w:val="Style_3_ch"/>
    <w:link w:val="Style_12"/>
    <w:rPr>
      <w:rFonts w:ascii="PT Astra Serif" w:hAnsi="PT Astra Serif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6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index heading"/>
    <w:basedOn w:val="Style_6"/>
    <w:link w:val="Style_15_ch"/>
    <w:rPr>
      <w:rFonts w:ascii="PT Astra Serif" w:hAnsi="PT Astra Serif"/>
    </w:rPr>
  </w:style>
  <w:style w:styleId="Style_15_ch" w:type="character">
    <w:name w:val="index heading"/>
    <w:basedOn w:val="Style_6_ch"/>
    <w:link w:val="Style_15"/>
    <w:rPr>
      <w:rFonts w:ascii="PT Astra Serif" w:hAnsi="PT Astra Serif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3" w:type="paragraph">
    <w:name w:val="Body Text"/>
    <w:basedOn w:val="Style_6"/>
    <w:link w:val="Style_3_ch"/>
    <w:pPr>
      <w:widowControl w:val="1"/>
      <w:spacing w:after="120"/>
      <w:ind/>
    </w:pPr>
  </w:style>
  <w:style w:styleId="Style_3_ch" w:type="character">
    <w:name w:val="Body Text"/>
    <w:basedOn w:val="Style_6_ch"/>
    <w:link w:val="Style_3"/>
  </w:style>
  <w:style w:styleId="Style_17" w:type="paragraph">
    <w:name w:val="toc 3"/>
    <w:next w:val="Style_6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2" w:type="paragraph">
    <w:name w:val="List Paragraph"/>
    <w:basedOn w:val="Style_6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6_ch"/>
    <w:link w:val="Style_2"/>
  </w:style>
  <w:style w:styleId="Style_18" w:type="paragraph">
    <w:name w:val="heading 5"/>
    <w:next w:val="Style_6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" w:type="paragraph">
    <w:name w:val="footer"/>
    <w:basedOn w:val="Style_6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6_ch"/>
    <w:link w:val="Style_1"/>
  </w:style>
  <w:style w:styleId="Style_19" w:type="paragraph">
    <w:name w:val="heading 1"/>
    <w:next w:val="Style_6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basedOn w:val="Style_16"/>
    <w:link w:val="Style_20_ch"/>
    <w:rPr>
      <w:color w:themeColor="hyperlink" w:val="0000FF"/>
      <w:u w:val="single"/>
    </w:rPr>
  </w:style>
  <w:style w:styleId="Style_20_ch" w:type="character">
    <w:name w:val="Hyperlink"/>
    <w:basedOn w:val="Style_16_ch"/>
    <w:link w:val="Style_20"/>
    <w:rPr>
      <w:color w:themeColor="hyperlink"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Font Style23"/>
    <w:link w:val="Style_22_ch"/>
    <w:rPr>
      <w:rFonts w:ascii="Times New Roman" w:hAnsi="Times New Roman"/>
      <w:b w:val="1"/>
      <w:sz w:val="22"/>
    </w:rPr>
  </w:style>
  <w:style w:styleId="Style_22_ch" w:type="character">
    <w:name w:val="Font Style23"/>
    <w:link w:val="Style_22"/>
    <w:rPr>
      <w:rFonts w:ascii="Times New Roman" w:hAnsi="Times New Roman"/>
      <w:b w:val="1"/>
      <w:sz w:val="22"/>
    </w:rPr>
  </w:style>
  <w:style w:styleId="Style_23" w:type="paragraph">
    <w:name w:val="toc 1"/>
    <w:next w:val="Style_6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basedOn w:val="Style_6"/>
    <w:link w:val="Style_24_ch"/>
  </w:style>
  <w:style w:styleId="Style_24_ch" w:type="character">
    <w:name w:val="Header and Footer"/>
    <w:basedOn w:val="Style_6_ch"/>
    <w:link w:val="Style_24"/>
  </w:style>
  <w:style w:styleId="Style_25" w:type="paragraph">
    <w:name w:val="toc 9"/>
    <w:next w:val="Style_6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caption"/>
    <w:basedOn w:val="Style_6"/>
    <w:link w:val="Style_26_ch"/>
    <w:pPr>
      <w:widowControl w:val="1"/>
      <w:spacing w:after="120" w:before="120"/>
      <w:ind/>
    </w:pPr>
    <w:rPr>
      <w:rFonts w:ascii="PT Astra Serif" w:hAnsi="PT Astra Serif"/>
      <w:i w:val="1"/>
    </w:rPr>
  </w:style>
  <w:style w:styleId="Style_26_ch" w:type="character">
    <w:name w:val="caption"/>
    <w:basedOn w:val="Style_6_ch"/>
    <w:link w:val="Style_26"/>
    <w:rPr>
      <w:rFonts w:ascii="PT Astra Serif" w:hAnsi="PT Astra Serif"/>
      <w:i w:val="1"/>
    </w:rPr>
  </w:style>
  <w:style w:styleId="Style_27" w:type="paragraph">
    <w:name w:val="header"/>
    <w:basedOn w:val="Style_6"/>
    <w:link w:val="Style_27_ch"/>
    <w:pPr>
      <w:widowControl w:val="1"/>
      <w:tabs>
        <w:tab w:leader="none" w:pos="4677" w:val="center"/>
        <w:tab w:leader="none" w:pos="9355" w:val="right"/>
      </w:tabs>
      <w:ind/>
    </w:pPr>
    <w:rPr>
      <w:rFonts w:asciiTheme="minorAscii" w:hAnsiTheme="minorHAnsi"/>
      <w:sz w:val="22"/>
    </w:rPr>
  </w:style>
  <w:style w:styleId="Style_27_ch" w:type="character">
    <w:name w:val="header"/>
    <w:basedOn w:val="Style_6_ch"/>
    <w:link w:val="Style_27"/>
    <w:rPr>
      <w:rFonts w:asciiTheme="minorAscii" w:hAnsiTheme="minorHAnsi"/>
      <w:sz w:val="22"/>
    </w:rPr>
  </w:style>
  <w:style w:styleId="Style_28" w:type="paragraph">
    <w:name w:val="toc 8"/>
    <w:next w:val="Style_6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4" w:type="paragraph">
    <w:name w:val="Font Style22"/>
    <w:link w:val="Style_4_ch"/>
    <w:rPr>
      <w:rFonts w:ascii="Times New Roman" w:hAnsi="Times New Roman"/>
      <w:sz w:val="22"/>
    </w:rPr>
  </w:style>
  <w:style w:styleId="Style_4_ch" w:type="character">
    <w:name w:val="Font Style22"/>
    <w:link w:val="Style_4"/>
    <w:rPr>
      <w:rFonts w:ascii="Times New Roman" w:hAnsi="Times New Roman"/>
      <w:sz w:val="22"/>
    </w:rPr>
  </w:style>
  <w:style w:styleId="Style_29" w:type="paragraph">
    <w:name w:val="toc 5"/>
    <w:next w:val="Style_6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6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6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6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Заголовок"/>
    <w:basedOn w:val="Style_6"/>
    <w:next w:val="Style_3"/>
    <w:link w:val="Style_33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3_ch" w:type="character">
    <w:name w:val="Заголовок"/>
    <w:basedOn w:val="Style_6_ch"/>
    <w:link w:val="Style_33"/>
    <w:rPr>
      <w:rFonts w:ascii="PT Astra Serif" w:hAnsi="PT Astra Serif"/>
      <w:sz w:val="28"/>
    </w:rPr>
  </w:style>
  <w:style w:styleId="Style_34" w:type="paragraph">
    <w:name w:val="heading 2"/>
    <w:next w:val="Style_6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5" w:type="table">
    <w:name w:val="Table Grid"/>
    <w:basedOn w:val="Style_35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footer1.xml" Type="http://schemas.openxmlformats.org/officeDocument/2006/relationships/footer"/>
  <Relationship Id="rId8" Target="webSettings.xml" Type="http://schemas.openxmlformats.org/officeDocument/2006/relationships/webSettings"/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2026-03-13T06:04:01Z</dcterms:created>
  <dcterms:modified xsi:type="dcterms:W3CDTF">2026-03-13T06:04:01Z</dcterms:modified>
</cp:coreProperties>
</file>