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955F5" w:rsidRPr="002955F5">
        <w:rPr>
          <w:rFonts w:ascii="Times New Roman" w:hAnsi="Times New Roman" w:cs="Times New Roman"/>
          <w:b/>
          <w:bCs/>
          <w:sz w:val="24"/>
          <w:szCs w:val="24"/>
        </w:rPr>
        <w:t>32615989604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29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5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5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17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932A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003">
        <w:rPr>
          <w:rFonts w:ascii="Times New Roman" w:hAnsi="Times New Roman" w:cs="Times New Roman"/>
          <w:bCs/>
          <w:sz w:val="24"/>
          <w:szCs w:val="24"/>
        </w:rPr>
        <w:t>цен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095"/>
      </w:tblGrid>
      <w:tr w:rsidR="007D53AD" w:rsidRPr="003D1D17" w:rsidTr="00932A95">
        <w:trPr>
          <w:trHeight w:val="100"/>
        </w:trPr>
        <w:tc>
          <w:tcPr>
            <w:tcW w:w="4395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095" w:type="dxa"/>
          </w:tcPr>
          <w:p w:rsidR="00735BF9" w:rsidRPr="002D059B" w:rsidRDefault="002955F5" w:rsidP="008C58F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Поставка электрооборудования для нужд филиалов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2955F5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«Электросети Кубани»</w:t>
            </w:r>
            <w:r w:rsidR="00AA4B9E" w:rsidRPr="00AA4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F33" w:rsidRPr="003D1D17" w:rsidTr="00932A95">
        <w:trPr>
          <w:trHeight w:val="100"/>
        </w:trPr>
        <w:tc>
          <w:tcPr>
            <w:tcW w:w="4395" w:type="dxa"/>
          </w:tcPr>
          <w:p w:rsidR="008D6F33" w:rsidRDefault="008D6F33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095" w:type="dxa"/>
          </w:tcPr>
          <w:p w:rsidR="008D6F33" w:rsidRPr="008D6F33" w:rsidRDefault="002955F5" w:rsidP="00FB217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33 116 614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8C58F8">
        <w:rPr>
          <w:rFonts w:ascii="Times New Roman" w:hAnsi="Times New Roman" w:cs="Times New Roman"/>
          <w:sz w:val="24"/>
          <w:szCs w:val="24"/>
        </w:rPr>
        <w:t>0</w:t>
      </w:r>
      <w:r w:rsidR="002955F5">
        <w:rPr>
          <w:rFonts w:ascii="Times New Roman" w:hAnsi="Times New Roman" w:cs="Times New Roman"/>
          <w:sz w:val="24"/>
          <w:szCs w:val="24"/>
        </w:rPr>
        <w:t>7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FB217B">
        <w:rPr>
          <w:rFonts w:ascii="Times New Roman" w:hAnsi="Times New Roman" w:cs="Times New Roman"/>
          <w:sz w:val="24"/>
          <w:szCs w:val="24"/>
        </w:rPr>
        <w:t>ма</w:t>
      </w:r>
      <w:r w:rsidR="00932A95">
        <w:rPr>
          <w:rFonts w:ascii="Times New Roman" w:hAnsi="Times New Roman" w:cs="Times New Roman"/>
          <w:sz w:val="24"/>
          <w:szCs w:val="24"/>
        </w:rPr>
        <w:t>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</w:tr>
      <w:tr w:rsidR="004C4984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Pr="00A21D3F" w:rsidRDefault="004C4984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984" w:rsidRDefault="004C498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Pr="00A21D3F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631C65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5E554B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70133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5D0FAF" w:rsidRPr="005D0FAF" w:rsidRDefault="005D0FAF" w:rsidP="005D0F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:rsidR="00993AC3" w:rsidRDefault="00F10DF8" w:rsidP="005E55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>Был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</w:t>
      </w:r>
      <w:r w:rsidR="005D0FAF">
        <w:rPr>
          <w:rFonts w:ascii="Times New Roman" w:hAnsi="Times New Roman" w:cs="Times New Roman"/>
          <w:sz w:val="24"/>
          <w:szCs w:val="24"/>
        </w:rPr>
        <w:t>а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4961"/>
        <w:gridCol w:w="2835"/>
      </w:tblGrid>
      <w:tr w:rsidR="00F00CB8" w:rsidRPr="008B4DD3" w:rsidTr="0009777D">
        <w:trPr>
          <w:trHeight w:val="38"/>
        </w:trPr>
        <w:tc>
          <w:tcPr>
            <w:tcW w:w="2440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961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835" w:type="dxa"/>
          </w:tcPr>
          <w:p w:rsidR="00F00CB8" w:rsidRPr="008B4DD3" w:rsidRDefault="00F00CB8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F00CB8" w:rsidRPr="00F70AC6" w:rsidTr="0009777D">
        <w:trPr>
          <w:trHeight w:val="458"/>
        </w:trPr>
        <w:tc>
          <w:tcPr>
            <w:tcW w:w="2440" w:type="dxa"/>
            <w:vAlign w:val="center"/>
          </w:tcPr>
          <w:p w:rsidR="00F00CB8" w:rsidRPr="00F70AC6" w:rsidRDefault="002955F5" w:rsidP="00FB21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B21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017D6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21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217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B217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61" w:type="dxa"/>
            <w:vAlign w:val="center"/>
          </w:tcPr>
          <w:p w:rsidR="0009777D" w:rsidRPr="0009777D" w:rsidRDefault="0009777D" w:rsidP="0009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«Невинномысский трансформаторный завод»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2631037630, КПП 263101001, </w:t>
            </w:r>
          </w:p>
          <w:p w:rsidR="00F00CB8" w:rsidRPr="00F70AC6" w:rsidRDefault="0009777D" w:rsidP="00097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1182651010849</w:t>
            </w:r>
          </w:p>
        </w:tc>
        <w:tc>
          <w:tcPr>
            <w:tcW w:w="2835" w:type="dxa"/>
            <w:vAlign w:val="center"/>
          </w:tcPr>
          <w:p w:rsidR="00F00CB8" w:rsidRPr="00F70AC6" w:rsidRDefault="002955F5" w:rsidP="00FB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5F5">
              <w:rPr>
                <w:rFonts w:ascii="Times New Roman" w:eastAsia="Times New Roman" w:hAnsi="Times New Roman" w:cs="Times New Roman"/>
                <w:sz w:val="24"/>
                <w:szCs w:val="24"/>
              </w:rPr>
              <w:t>32 652 808</w:t>
            </w:r>
            <w:r w:rsidR="008C58F8" w:rsidRPr="008C58F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8C58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C58F8" w:rsidRPr="008C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0CB8"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НДС)</w:t>
            </w:r>
          </w:p>
        </w:tc>
      </w:tr>
    </w:tbl>
    <w:p w:rsidR="005626B0" w:rsidRDefault="0056712F" w:rsidP="002955F5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0AC6">
        <w:rPr>
          <w:rFonts w:ascii="Times New Roman" w:hAnsi="Times New Roman" w:cs="Times New Roman"/>
          <w:sz w:val="24"/>
          <w:szCs w:val="24"/>
        </w:rPr>
        <w:t>По результатам подведения итогов принято решение признать процедуру несостоявшейся и, согласно п. 5.7.5 Положения о закупках товаров, работ, услуг АО «</w:t>
      </w:r>
      <w:r w:rsidRPr="00F70AC6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F70AC6">
        <w:rPr>
          <w:rFonts w:ascii="Times New Roman" w:hAnsi="Times New Roman" w:cs="Times New Roman"/>
          <w:sz w:val="24"/>
          <w:szCs w:val="24"/>
        </w:rPr>
        <w:t xml:space="preserve">», заключить договор с </w:t>
      </w:r>
      <w:r w:rsidR="0009777D" w:rsidRPr="0009777D">
        <w:rPr>
          <w:rFonts w:ascii="Times New Roman" w:eastAsia="Times New Roman" w:hAnsi="Times New Roman" w:cs="Times New Roman"/>
          <w:sz w:val="24"/>
          <w:szCs w:val="24"/>
        </w:rPr>
        <w:t>ООО «Невинномысский трансформаторный завод»</w:t>
      </w:r>
      <w:r w:rsidRPr="00F70AC6">
        <w:rPr>
          <w:rFonts w:ascii="Times New Roman" w:hAnsi="Times New Roman" w:cs="Times New Roman"/>
          <w:sz w:val="24"/>
          <w:szCs w:val="24"/>
        </w:rPr>
        <w:t>, как</w:t>
      </w:r>
      <w:r w:rsidR="00BC3E61">
        <w:rPr>
          <w:rFonts w:ascii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единственным участником закупки на сумму</w:t>
      </w:r>
      <w:r w:rsidR="002B2930" w:rsidRPr="00F70AC6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2955F5" w:rsidRPr="002955F5">
        <w:rPr>
          <w:rFonts w:ascii="Times New Roman" w:eastAsia="Times New Roman" w:hAnsi="Times New Roman" w:cs="Times New Roman"/>
          <w:sz w:val="24"/>
          <w:szCs w:val="24"/>
        </w:rPr>
        <w:t>32 652 808</w:t>
      </w:r>
      <w:bookmarkStart w:id="0" w:name="_GoBack"/>
      <w:bookmarkEnd w:id="0"/>
      <w:r w:rsidR="003E3E6C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3E3E6C"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9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НДС</w:t>
      </w:r>
      <w:r w:rsidR="00711944">
        <w:rPr>
          <w:rFonts w:ascii="Times New Roman" w:hAnsi="Times New Roman" w:cs="Times New Roman"/>
          <w:sz w:val="24"/>
          <w:szCs w:val="24"/>
        </w:rPr>
        <w:t>)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461A08" w:rsidRDefault="00461A08" w:rsidP="00461A08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26B0" w:rsidRDefault="005626B0" w:rsidP="008D6F33">
      <w:pPr>
        <w:pStyle w:val="a3"/>
        <w:numPr>
          <w:ilvl w:val="0"/>
          <w:numId w:val="8"/>
        </w:numPr>
        <w:tabs>
          <w:tab w:val="left" w:pos="709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А.Ю.Стальченко</w:t>
                  </w:r>
                  <w:proofErr w:type="spellEnd"/>
                </w:p>
              </w:tc>
            </w:tr>
            <w:tr w:rsidR="004C4984" w:rsidTr="005D0FAF">
              <w:tc>
                <w:tcPr>
                  <w:tcW w:w="4425" w:type="dxa"/>
                  <w:vAlign w:val="center"/>
                </w:tcPr>
                <w:p w:rsidR="004C4984" w:rsidRDefault="004C4984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C4984" w:rsidRDefault="004C4984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C4984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Ф.И.Семенов</w:t>
                  </w:r>
                  <w:proofErr w:type="spellEnd"/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В.В.Макушин</w:t>
                  </w:r>
                  <w:proofErr w:type="spellEnd"/>
                </w:p>
              </w:tc>
            </w:tr>
            <w:tr w:rsidR="00701338" w:rsidTr="005D0FAF">
              <w:tc>
                <w:tcPr>
                  <w:tcW w:w="4425" w:type="dxa"/>
                  <w:vAlign w:val="center"/>
                </w:tcPr>
                <w:p w:rsidR="00701338" w:rsidRDefault="00701338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701338" w:rsidRDefault="00701338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701338" w:rsidRPr="00B02456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П.Л.Евсеев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М.В.Маммеев</w:t>
                  </w:r>
                  <w:proofErr w:type="spellEnd"/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Н.П.Тимофеева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Default="00993AC3" w:rsidP="008641D0">
      <w:pPr>
        <w:spacing w:after="0"/>
      </w:pPr>
    </w:p>
    <w:sectPr w:rsidR="00993AC3" w:rsidSect="00461A08">
      <w:footerReference w:type="default" r:id="rId9"/>
      <w:pgSz w:w="11907" w:h="16840" w:code="9"/>
      <w:pgMar w:top="1134" w:right="567" w:bottom="96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93F" w:rsidRDefault="0099293F" w:rsidP="00E37626">
      <w:pPr>
        <w:spacing w:after="0" w:line="240" w:lineRule="auto"/>
      </w:pPr>
      <w:r>
        <w:separator/>
      </w:r>
    </w:p>
  </w:endnote>
  <w:endnote w:type="continuationSeparator" w:id="0">
    <w:p w:rsidR="0099293F" w:rsidRDefault="0099293F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93F" w:rsidRDefault="0099293F" w:rsidP="00E37626">
      <w:pPr>
        <w:spacing w:after="0" w:line="240" w:lineRule="auto"/>
      </w:pPr>
      <w:r>
        <w:separator/>
      </w:r>
    </w:p>
  </w:footnote>
  <w:footnote w:type="continuationSeparator" w:id="0">
    <w:p w:rsidR="0099293F" w:rsidRDefault="0099293F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420D"/>
    <w:rsid w:val="00051845"/>
    <w:rsid w:val="00064B91"/>
    <w:rsid w:val="00065E51"/>
    <w:rsid w:val="00070C07"/>
    <w:rsid w:val="00072463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15EE7"/>
    <w:rsid w:val="001259F7"/>
    <w:rsid w:val="00132C77"/>
    <w:rsid w:val="001428FF"/>
    <w:rsid w:val="00154A11"/>
    <w:rsid w:val="001678E8"/>
    <w:rsid w:val="00192E1D"/>
    <w:rsid w:val="001953FC"/>
    <w:rsid w:val="00197769"/>
    <w:rsid w:val="001C0EA0"/>
    <w:rsid w:val="001D771A"/>
    <w:rsid w:val="002265B8"/>
    <w:rsid w:val="0022713D"/>
    <w:rsid w:val="00231E2B"/>
    <w:rsid w:val="002545F2"/>
    <w:rsid w:val="0027012A"/>
    <w:rsid w:val="0027222E"/>
    <w:rsid w:val="00281B4C"/>
    <w:rsid w:val="002955F5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72F0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67D04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402FD8"/>
    <w:rsid w:val="004032B6"/>
    <w:rsid w:val="00405E3D"/>
    <w:rsid w:val="00407E31"/>
    <w:rsid w:val="00410704"/>
    <w:rsid w:val="00422DC1"/>
    <w:rsid w:val="00442AB5"/>
    <w:rsid w:val="00445A62"/>
    <w:rsid w:val="00460D60"/>
    <w:rsid w:val="00460ECD"/>
    <w:rsid w:val="00461A08"/>
    <w:rsid w:val="00464C7C"/>
    <w:rsid w:val="004858C0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54892"/>
    <w:rsid w:val="00667FC5"/>
    <w:rsid w:val="006800B9"/>
    <w:rsid w:val="00684096"/>
    <w:rsid w:val="00684CA4"/>
    <w:rsid w:val="006A04FD"/>
    <w:rsid w:val="006A0C72"/>
    <w:rsid w:val="006A38B1"/>
    <w:rsid w:val="006C3A3E"/>
    <w:rsid w:val="006D49F9"/>
    <w:rsid w:val="006E4020"/>
    <w:rsid w:val="00701338"/>
    <w:rsid w:val="00711944"/>
    <w:rsid w:val="00731575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3AD"/>
    <w:rsid w:val="007D626B"/>
    <w:rsid w:val="007E37B7"/>
    <w:rsid w:val="00801E69"/>
    <w:rsid w:val="00803159"/>
    <w:rsid w:val="008131C0"/>
    <w:rsid w:val="00815571"/>
    <w:rsid w:val="008218C0"/>
    <w:rsid w:val="00830601"/>
    <w:rsid w:val="00837128"/>
    <w:rsid w:val="00856BAE"/>
    <w:rsid w:val="008641D0"/>
    <w:rsid w:val="00882D9A"/>
    <w:rsid w:val="008B4DD3"/>
    <w:rsid w:val="008B6989"/>
    <w:rsid w:val="008C58F8"/>
    <w:rsid w:val="008D21B4"/>
    <w:rsid w:val="008D6F33"/>
    <w:rsid w:val="008E0A0F"/>
    <w:rsid w:val="009017D6"/>
    <w:rsid w:val="00902EE5"/>
    <w:rsid w:val="00921A1E"/>
    <w:rsid w:val="0092730E"/>
    <w:rsid w:val="00932A95"/>
    <w:rsid w:val="00934D83"/>
    <w:rsid w:val="00946B45"/>
    <w:rsid w:val="00947EC0"/>
    <w:rsid w:val="00960018"/>
    <w:rsid w:val="00962E12"/>
    <w:rsid w:val="00966082"/>
    <w:rsid w:val="009910F7"/>
    <w:rsid w:val="00991E7B"/>
    <w:rsid w:val="0099293F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344BE"/>
    <w:rsid w:val="00A402C0"/>
    <w:rsid w:val="00A44FA3"/>
    <w:rsid w:val="00A6307E"/>
    <w:rsid w:val="00A76AD9"/>
    <w:rsid w:val="00AA2491"/>
    <w:rsid w:val="00AA4B9E"/>
    <w:rsid w:val="00AB2FB3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2218"/>
    <w:rsid w:val="00B96DA3"/>
    <w:rsid w:val="00BA22FF"/>
    <w:rsid w:val="00BA3294"/>
    <w:rsid w:val="00BC3E61"/>
    <w:rsid w:val="00BC4253"/>
    <w:rsid w:val="00BE299B"/>
    <w:rsid w:val="00BE2C97"/>
    <w:rsid w:val="00C30B22"/>
    <w:rsid w:val="00C44BA5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C689E"/>
    <w:rsid w:val="00CD037B"/>
    <w:rsid w:val="00CE0986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71B7E"/>
    <w:rsid w:val="00D81AD2"/>
    <w:rsid w:val="00D97AC9"/>
    <w:rsid w:val="00DA389D"/>
    <w:rsid w:val="00DB42A1"/>
    <w:rsid w:val="00DC5752"/>
    <w:rsid w:val="00DC7D4E"/>
    <w:rsid w:val="00DD17F9"/>
    <w:rsid w:val="00DD7E85"/>
    <w:rsid w:val="00DE21E6"/>
    <w:rsid w:val="00DE62E3"/>
    <w:rsid w:val="00E06C8B"/>
    <w:rsid w:val="00E15955"/>
    <w:rsid w:val="00E215AD"/>
    <w:rsid w:val="00E35203"/>
    <w:rsid w:val="00E35939"/>
    <w:rsid w:val="00E35D80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E1"/>
    <w:rsid w:val="00F94E60"/>
    <w:rsid w:val="00FA5A9A"/>
    <w:rsid w:val="00FB217B"/>
    <w:rsid w:val="00FB25B4"/>
    <w:rsid w:val="00FB26DD"/>
    <w:rsid w:val="00FC1989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128</cp:revision>
  <cp:lastPrinted>2022-02-08T12:42:00Z</cp:lastPrinted>
  <dcterms:created xsi:type="dcterms:W3CDTF">2022-08-03T12:21:00Z</dcterms:created>
  <dcterms:modified xsi:type="dcterms:W3CDTF">2026-05-18T08:20:00Z</dcterms:modified>
</cp:coreProperties>
</file>