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D66FB0">
        <w:rPr>
          <w:b/>
        </w:rPr>
        <w:t>Краснодар</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D66FB0">
        <w:rPr>
          <w:szCs w:val="24"/>
        </w:rPr>
        <w:t>Краснодар</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423CCA"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423CCA"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423CCA"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423CCA"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423CCA"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423CCA"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423CCA"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423CCA"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423CCA"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D66FB0">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w:t>
            </w:r>
            <w:r w:rsidR="007A4373">
              <w:rPr>
                <w:b/>
                <w:i/>
                <w:szCs w:val="24"/>
              </w:rPr>
              <w:t xml:space="preserve">                             </w:t>
            </w:r>
            <w:r w:rsidRPr="004446C9">
              <w:rPr>
                <w:b/>
                <w:i/>
                <w:szCs w:val="24"/>
              </w:rPr>
              <w:t>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D66FB0">
              <w:rPr>
                <w:b/>
                <w:i/>
                <w:szCs w:val="24"/>
              </w:rPr>
              <w:t>Краснодар</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423CCA"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423CCA"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423CCA"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423CCA"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423CCA"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423CCA"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423CCA"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423CCA"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423CCA"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423CCA"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423CCA"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423CCA"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DD70B6">
                    <w:rPr>
                      <w:szCs w:val="20"/>
                      <w:shd w:val="clear" w:color="auto" w:fill="FFFFFF" w:themeFill="background1"/>
                    </w:rPr>
                    <w:t>26</w:t>
                  </w:r>
                  <w:r w:rsidR="00A33D9F">
                    <w:rPr>
                      <w:szCs w:val="20"/>
                      <w:shd w:val="clear" w:color="auto" w:fill="FFFFFF" w:themeFill="background1"/>
                    </w:rPr>
                    <w:t>»</w:t>
                  </w:r>
                  <w:r>
                    <w:rPr>
                      <w:szCs w:val="20"/>
                      <w:shd w:val="clear" w:color="auto" w:fill="FFFFFF" w:themeFill="background1"/>
                    </w:rPr>
                    <w:t xml:space="preserve"> </w:t>
                  </w:r>
                  <w:r w:rsidR="00DD70B6">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DD70B6">
                    <w:rPr>
                      <w:szCs w:val="20"/>
                      <w:shd w:val="clear" w:color="auto" w:fill="FFFFFF" w:themeFill="background1"/>
                    </w:rPr>
                    <w:t>26</w:t>
                  </w:r>
                  <w:r>
                    <w:rPr>
                      <w:szCs w:val="20"/>
                      <w:shd w:val="clear" w:color="auto" w:fill="FFFFFF" w:themeFill="background1"/>
                    </w:rPr>
                    <w:t xml:space="preserve">» </w:t>
                  </w:r>
                  <w:r w:rsidR="00DD70B6">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3F6A76">
                  <w:pPr>
                    <w:ind w:firstLine="0"/>
                    <w:rPr>
                      <w:szCs w:val="20"/>
                      <w:u w:val="single"/>
                    </w:rPr>
                  </w:pPr>
                  <w:r w:rsidRPr="00E549A9">
                    <w:rPr>
                      <w:szCs w:val="20"/>
                      <w:shd w:val="clear" w:color="auto" w:fill="FFFFFF" w:themeFill="background1"/>
                    </w:rPr>
                    <w:t>«</w:t>
                  </w:r>
                  <w:r w:rsidR="002E0924">
                    <w:rPr>
                      <w:szCs w:val="20"/>
                      <w:shd w:val="clear" w:color="auto" w:fill="FFFFFF" w:themeFill="background1"/>
                    </w:rPr>
                    <w:t>0</w:t>
                  </w:r>
                  <w:r w:rsidR="003F6A76">
                    <w:rPr>
                      <w:szCs w:val="20"/>
                      <w:shd w:val="clear" w:color="auto" w:fill="FFFFFF" w:themeFill="background1"/>
                    </w:rPr>
                    <w:t>3</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3F6A76">
                  <w:pPr>
                    <w:ind w:firstLine="0"/>
                    <w:rPr>
                      <w:b/>
                      <w:szCs w:val="20"/>
                      <w:shd w:val="clear" w:color="auto" w:fill="FFFFFF" w:themeFill="background1"/>
                    </w:rPr>
                  </w:pPr>
                  <w:r w:rsidRPr="00E549A9">
                    <w:rPr>
                      <w:szCs w:val="20"/>
                      <w:shd w:val="clear" w:color="auto" w:fill="FFFFFF" w:themeFill="background1"/>
                    </w:rPr>
                    <w:t>«</w:t>
                  </w:r>
                  <w:r w:rsidR="002E0924">
                    <w:rPr>
                      <w:szCs w:val="20"/>
                      <w:shd w:val="clear" w:color="auto" w:fill="FFFFFF" w:themeFill="background1"/>
                    </w:rPr>
                    <w:t>0</w:t>
                  </w:r>
                  <w:r w:rsidR="003F6A76">
                    <w:rPr>
                      <w:szCs w:val="20"/>
                      <w:shd w:val="clear" w:color="auto" w:fill="FFFFFF" w:themeFill="background1"/>
                    </w:rPr>
                    <w:t>3</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2E0924">
                    <w:rPr>
                      <w:szCs w:val="20"/>
                      <w:shd w:val="clear" w:color="auto" w:fill="FFFFFF" w:themeFill="background1"/>
                    </w:rPr>
                    <w:t>0</w:t>
                  </w:r>
                  <w:r w:rsidR="003F6A76">
                    <w:rPr>
                      <w:szCs w:val="20"/>
                      <w:shd w:val="clear" w:color="auto" w:fill="FFFFFF" w:themeFill="background1"/>
                    </w:rPr>
                    <w:t>4</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4B481B">
                    <w:rPr>
                      <w:rStyle w:val="af4"/>
                      <w:b w:val="0"/>
                      <w:i w:val="0"/>
                      <w:szCs w:val="20"/>
                      <w:shd w:val="clear" w:color="auto" w:fill="auto"/>
                    </w:rPr>
                    <w:t>09</w:t>
                  </w:r>
                  <w:r w:rsidR="00E307CC" w:rsidRPr="00E549A9">
                    <w:rPr>
                      <w:rStyle w:val="af4"/>
                      <w:b w:val="0"/>
                      <w:i w:val="0"/>
                      <w:szCs w:val="20"/>
                      <w:shd w:val="clear" w:color="auto" w:fill="auto"/>
                    </w:rPr>
                    <w:t xml:space="preserve">ч : </w:t>
                  </w:r>
                  <w:r w:rsidR="004B481B">
                    <w:rPr>
                      <w:rStyle w:val="af4"/>
                      <w:b w:val="0"/>
                      <w:i w:val="0"/>
                      <w:szCs w:val="20"/>
                      <w:shd w:val="clear" w:color="auto" w:fill="auto"/>
                    </w:rPr>
                    <w:t>3</w:t>
                  </w:r>
                  <w:bookmarkStart w:id="12" w:name="_GoBack"/>
                  <w:bookmarkEnd w:id="12"/>
                  <w:r w:rsidR="00E307CC">
                    <w:rPr>
                      <w:rStyle w:val="af4"/>
                      <w:b w:val="0"/>
                      <w:i w:val="0"/>
                      <w:szCs w:val="20"/>
                      <w:shd w:val="clear" w:color="auto" w:fill="auto"/>
                    </w:rPr>
                    <w:t>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3F6A76">
                  <w:pPr>
                    <w:ind w:firstLine="0"/>
                    <w:rPr>
                      <w:b/>
                      <w:szCs w:val="20"/>
                      <w:shd w:val="clear" w:color="auto" w:fill="FFFFFF" w:themeFill="background1"/>
                    </w:rPr>
                  </w:pPr>
                  <w:r w:rsidRPr="00E549A9">
                    <w:rPr>
                      <w:szCs w:val="20"/>
                      <w:shd w:val="clear" w:color="auto" w:fill="FFFFFF" w:themeFill="background1"/>
                    </w:rPr>
                    <w:t>«</w:t>
                  </w:r>
                  <w:r w:rsidR="002E0924">
                    <w:rPr>
                      <w:szCs w:val="20"/>
                      <w:shd w:val="clear" w:color="auto" w:fill="FFFFFF" w:themeFill="background1"/>
                    </w:rPr>
                    <w:t>0</w:t>
                  </w:r>
                  <w:r w:rsidR="003F6A76">
                    <w:rPr>
                      <w:szCs w:val="20"/>
                      <w:shd w:val="clear" w:color="auto" w:fill="FFFFFF" w:themeFill="background1"/>
                    </w:rPr>
                    <w:t>4</w:t>
                  </w:r>
                  <w:r>
                    <w:rPr>
                      <w:szCs w:val="20"/>
                      <w:shd w:val="clear" w:color="auto" w:fill="FFFFFF" w:themeFill="background1"/>
                    </w:rPr>
                    <w:t xml:space="preserve">» </w:t>
                  </w:r>
                  <w:r w:rsidR="00D66FB0">
                    <w:rPr>
                      <w:szCs w:val="20"/>
                      <w:shd w:val="clear" w:color="auto" w:fill="FFFFFF" w:themeFill="background1"/>
                    </w:rPr>
                    <w:t>апреля</w:t>
                  </w:r>
                  <w:r w:rsidR="00325855">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DD70B6">
                  <w:pPr>
                    <w:pStyle w:val="af1"/>
                    <w:spacing w:before="0" w:after="0"/>
                    <w:ind w:left="0"/>
                    <w:jc w:val="both"/>
                    <w:rPr>
                      <w:szCs w:val="20"/>
                    </w:rPr>
                  </w:pPr>
                  <w:r>
                    <w:rPr>
                      <w:szCs w:val="20"/>
                    </w:rPr>
                    <w:t xml:space="preserve">не позднее </w:t>
                  </w:r>
                  <w:r w:rsidR="00F54E6B" w:rsidRPr="00E549A9">
                    <w:rPr>
                      <w:szCs w:val="20"/>
                    </w:rPr>
                    <w:t>«</w:t>
                  </w:r>
                  <w:r w:rsidR="002E0924">
                    <w:rPr>
                      <w:szCs w:val="20"/>
                    </w:rPr>
                    <w:t>1</w:t>
                  </w:r>
                  <w:r w:rsidR="00DD70B6">
                    <w:rPr>
                      <w:szCs w:val="20"/>
                    </w:rPr>
                    <w:t>5</w:t>
                  </w:r>
                  <w:r w:rsidR="00F54E6B" w:rsidRPr="00E549A9">
                    <w:rPr>
                      <w:szCs w:val="20"/>
                    </w:rPr>
                    <w:t xml:space="preserve">» </w:t>
                  </w:r>
                  <w:r w:rsidR="00D66FB0">
                    <w:rPr>
                      <w:szCs w:val="20"/>
                      <w:shd w:val="clear" w:color="auto" w:fill="FFFFFF" w:themeFill="background1"/>
                    </w:rPr>
                    <w:t>апреля</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423CCA"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423CCA"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423CCA"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423CCA"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423CCA"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423CCA"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423CCA"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423CCA"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4B481B" w:rsidTr="00287C83">
              <w:trPr>
                <w:trHeight w:val="217"/>
              </w:trPr>
              <w:tc>
                <w:tcPr>
                  <w:tcW w:w="587" w:type="dxa"/>
                  <w:vAlign w:val="center"/>
                </w:tcPr>
                <w:p w:rsidR="00D66C2D" w:rsidRPr="0085682C" w:rsidRDefault="00423CCA" w:rsidP="00287C83">
                  <w:pPr>
                    <w:ind w:firstLine="0"/>
                  </w:pPr>
                  <w:r>
                    <w:pict>
                      <v:shape id="_x0000_i1054" type="#_x0000_t75" style="width:13.75pt;height:18.8pt">
                        <v:imagedata r:id="rId28" o:title=""/>
                      </v:shape>
                    </w:pict>
                  </w:r>
                </w:p>
              </w:tc>
              <w:tc>
                <w:tcPr>
                  <w:tcW w:w="5933" w:type="dxa"/>
                  <w:vAlign w:val="center"/>
                </w:tcPr>
                <w:p w:rsidR="00D66C2D" w:rsidRPr="004F7A70" w:rsidRDefault="00423CCA"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423CCA"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423CCA"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423CCA"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423CCA"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423CCA"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423CCA"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423CCA"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423CCA"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2E0924" w:rsidP="00D66FB0">
            <w:pPr>
              <w:spacing w:before="120" w:after="120"/>
              <w:ind w:firstLine="0"/>
              <w:jc w:val="left"/>
              <w:rPr>
                <w:bCs/>
                <w:sz w:val="16"/>
                <w:szCs w:val="16"/>
              </w:rPr>
            </w:pPr>
            <w:r w:rsidRPr="002E0924">
              <w:rPr>
                <w:bCs/>
                <w:sz w:val="16"/>
                <w:szCs w:val="16"/>
              </w:rPr>
              <w:t xml:space="preserve">«Реконструкция КЛ-10 </w:t>
            </w:r>
            <w:proofErr w:type="spellStart"/>
            <w:r w:rsidRPr="002E0924">
              <w:rPr>
                <w:bCs/>
                <w:sz w:val="16"/>
                <w:szCs w:val="16"/>
              </w:rPr>
              <w:t>кВ</w:t>
            </w:r>
            <w:proofErr w:type="spellEnd"/>
            <w:r w:rsidRPr="002E0924">
              <w:rPr>
                <w:bCs/>
                <w:sz w:val="16"/>
                <w:szCs w:val="16"/>
              </w:rPr>
              <w:t xml:space="preserve"> ТП-1059п – З-2-107»</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2E0924" w:rsidP="00AF1EEE">
            <w:pPr>
              <w:ind w:firstLine="0"/>
              <w:jc w:val="center"/>
              <w:rPr>
                <w:sz w:val="16"/>
                <w:szCs w:val="16"/>
                <w:lang w:bidi="he-IL"/>
              </w:rPr>
            </w:pPr>
            <w:r w:rsidRPr="002E0924">
              <w:rPr>
                <w:sz w:val="16"/>
                <w:szCs w:val="16"/>
                <w:lang w:bidi="he-IL"/>
              </w:rPr>
              <w:t>5 367 721,24</w:t>
            </w:r>
            <w:r>
              <w:rPr>
                <w:sz w:val="16"/>
                <w:szCs w:val="16"/>
                <w:lang w:bidi="he-IL"/>
              </w:rPr>
              <w:t xml:space="preserve"> </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2E0924" w:rsidP="00AF1EEE">
            <w:pPr>
              <w:ind w:firstLine="0"/>
              <w:jc w:val="center"/>
              <w:rPr>
                <w:sz w:val="16"/>
                <w:szCs w:val="16"/>
                <w:lang w:bidi="he-IL"/>
              </w:rPr>
            </w:pPr>
            <w:r>
              <w:rPr>
                <w:sz w:val="16"/>
                <w:szCs w:val="16"/>
                <w:lang w:bidi="he-IL"/>
              </w:rPr>
              <w:t>4 473 101,</w:t>
            </w:r>
            <w:r w:rsidRPr="002E0924">
              <w:rPr>
                <w:sz w:val="16"/>
                <w:szCs w:val="16"/>
                <w:lang w:bidi="he-IL"/>
              </w:rPr>
              <w:t>03</w:t>
            </w:r>
            <w:r>
              <w:rPr>
                <w:sz w:val="16"/>
                <w:szCs w:val="16"/>
                <w:lang w:bidi="he-IL"/>
              </w:rPr>
              <w:t xml:space="preserve">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D66FB0">
            <w:pPr>
              <w:spacing w:before="120" w:after="120"/>
              <w:ind w:firstLine="0"/>
              <w:jc w:val="center"/>
              <w:rPr>
                <w:sz w:val="16"/>
                <w:szCs w:val="16"/>
                <w:lang w:bidi="he-IL"/>
              </w:rPr>
            </w:pPr>
            <w:r w:rsidRPr="00892F45">
              <w:rPr>
                <w:sz w:val="16"/>
                <w:szCs w:val="16"/>
                <w:lang w:bidi="he-IL"/>
              </w:rPr>
              <w:t xml:space="preserve">г. </w:t>
            </w:r>
            <w:r w:rsidR="00D66FB0">
              <w:rPr>
                <w:bCs/>
                <w:sz w:val="16"/>
                <w:szCs w:val="16"/>
              </w:rPr>
              <w:t>Краснодар</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2E0924" w:rsidP="00F32259">
            <w:pPr>
              <w:spacing w:before="120" w:after="120"/>
              <w:ind w:firstLine="0"/>
              <w:jc w:val="center"/>
              <w:rPr>
                <w:sz w:val="16"/>
                <w:szCs w:val="16"/>
                <w:lang w:bidi="he-IL"/>
              </w:rPr>
            </w:pPr>
            <w:r w:rsidRPr="002E0924">
              <w:rPr>
                <w:bCs/>
                <w:sz w:val="16"/>
                <w:szCs w:val="16"/>
              </w:rPr>
              <w:t xml:space="preserve">«Реконструкция КЛ-10 </w:t>
            </w:r>
            <w:proofErr w:type="spellStart"/>
            <w:r w:rsidRPr="002E0924">
              <w:rPr>
                <w:bCs/>
                <w:sz w:val="16"/>
                <w:szCs w:val="16"/>
              </w:rPr>
              <w:t>кВ</w:t>
            </w:r>
            <w:proofErr w:type="spellEnd"/>
            <w:r w:rsidRPr="002E0924">
              <w:rPr>
                <w:bCs/>
                <w:sz w:val="16"/>
                <w:szCs w:val="16"/>
              </w:rPr>
              <w:t xml:space="preserve"> ТП-1059п – З-2-107»</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2E0924" w:rsidRPr="002E0924" w:rsidRDefault="002E0924" w:rsidP="002E0924">
            <w:pPr>
              <w:ind w:firstLine="0"/>
              <w:jc w:val="center"/>
              <w:rPr>
                <w:sz w:val="16"/>
                <w:szCs w:val="16"/>
                <w:lang w:bidi="he-IL"/>
              </w:rPr>
            </w:pPr>
            <w:r>
              <w:rPr>
                <w:sz w:val="16"/>
                <w:szCs w:val="16"/>
                <w:lang w:bidi="he-IL"/>
              </w:rPr>
              <w:t xml:space="preserve">5 367 721,24 руб. </w:t>
            </w:r>
            <w:r w:rsidRPr="002E0924">
              <w:rPr>
                <w:sz w:val="16"/>
                <w:szCs w:val="16"/>
                <w:lang w:bidi="he-IL"/>
              </w:rPr>
              <w:t>(с НДС)</w:t>
            </w:r>
          </w:p>
          <w:p w:rsidR="00D97682" w:rsidRPr="00B752FC" w:rsidRDefault="002E0924" w:rsidP="002E0924">
            <w:pPr>
              <w:ind w:firstLine="0"/>
              <w:jc w:val="center"/>
              <w:rPr>
                <w:sz w:val="16"/>
                <w:szCs w:val="16"/>
                <w:lang w:bidi="he-IL"/>
              </w:rPr>
            </w:pPr>
            <w:r>
              <w:rPr>
                <w:sz w:val="16"/>
                <w:szCs w:val="16"/>
                <w:lang w:bidi="he-IL"/>
              </w:rPr>
              <w:t xml:space="preserve">4 473 101,03 руб. </w:t>
            </w:r>
            <w:r w:rsidRPr="002E0924">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423CCA"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423CCA"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423CCA"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423CCA"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423CCA"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423CCA"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423CCA"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423CCA"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423CCA"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423CCA"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23CCA">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23CCA">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23CCA">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423CCA"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423CCA"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423CCA"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423CCA"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423CCA"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423CCA"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423CCA"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423CCA"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423CCA"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423CCA"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423CCA"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423CCA"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423CCA"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423CCA"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423CCA"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423CCA"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423CCA"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423CCA"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423CCA"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423CCA"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423CCA"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423CCA"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423CCA"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423CCA"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423CCA"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423CCA"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423CCA"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423CCA"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423CCA"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423CCA"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423CCA"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CA" w:rsidRDefault="00423CCA">
      <w:r>
        <w:separator/>
      </w:r>
    </w:p>
    <w:p w:rsidR="00423CCA" w:rsidRDefault="00423CCA"/>
  </w:endnote>
  <w:endnote w:type="continuationSeparator" w:id="0">
    <w:p w:rsidR="00423CCA" w:rsidRDefault="00423CCA">
      <w:r>
        <w:continuationSeparator/>
      </w:r>
    </w:p>
    <w:p w:rsidR="00423CCA" w:rsidRDefault="00423CCA"/>
  </w:endnote>
  <w:endnote w:type="continuationNotice" w:id="1">
    <w:p w:rsidR="00423CCA" w:rsidRDefault="0042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4B481B">
                            <w:rPr>
                              <w:noProof/>
                            </w:rPr>
                            <w:t>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9</w:t>
                          </w:r>
                          <w:r w:rsidR="00423CC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4B481B">
                      <w:rPr>
                        <w:noProof/>
                      </w:rPr>
                      <w:t>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9</w:t>
                    </w:r>
                    <w:r w:rsidR="00423CCA">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4B481B">
                            <w:rPr>
                              <w:noProof/>
                            </w:rPr>
                            <w:t>19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19</w:t>
                          </w:r>
                          <w:r w:rsidR="00423CC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4B481B">
                      <w:rPr>
                        <w:noProof/>
                      </w:rPr>
                      <w:t>19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19</w:t>
                    </w:r>
                    <w:r w:rsidR="00423CCA">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4B481B">
                            <w:rPr>
                              <w:noProof/>
                            </w:rPr>
                            <w:t>19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19</w:t>
                          </w:r>
                          <w:r w:rsidR="00423CC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4B481B">
                      <w:rPr>
                        <w:noProof/>
                      </w:rPr>
                      <w:t>19</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19</w:t>
                    </w:r>
                    <w:r w:rsidR="00423CCA">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23CCA">
      <w:fldChar w:fldCharType="begin"/>
    </w:r>
    <w:r w:rsidR="00423CCA">
      <w:instrText xml:space="preserve"> NUMPAGES </w:instrText>
    </w:r>
    <w:r w:rsidR="00423CCA">
      <w:fldChar w:fldCharType="separate"/>
    </w:r>
    <w:r>
      <w:rPr>
        <w:noProof/>
      </w:rPr>
      <w:t>54</w:t>
    </w:r>
    <w:r w:rsidR="00423CCA">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4B481B">
                            <w:rPr>
                              <w:noProof/>
                            </w:rPr>
                            <w:t>54</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54</w:t>
                          </w:r>
                          <w:r w:rsidR="00423CC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4B481B">
                      <w:rPr>
                        <w:noProof/>
                      </w:rPr>
                      <w:t>54</w:t>
                    </w:r>
                    <w:r>
                      <w:rPr>
                        <w:noProof/>
                      </w:rPr>
                      <w:fldChar w:fldCharType="end"/>
                    </w:r>
                    <w:r>
                      <w:t xml:space="preserve">  ИЗ  </w:t>
                    </w:r>
                    <w:r w:rsidR="00423CCA">
                      <w:fldChar w:fldCharType="begin"/>
                    </w:r>
                    <w:r w:rsidR="00423CCA">
                      <w:instrText xml:space="preserve"> NUMPAGES </w:instrText>
                    </w:r>
                    <w:r w:rsidR="00423CCA">
                      <w:fldChar w:fldCharType="separate"/>
                    </w:r>
                    <w:r w:rsidR="004B481B">
                      <w:rPr>
                        <w:noProof/>
                      </w:rPr>
                      <w:t>54</w:t>
                    </w:r>
                    <w:r w:rsidR="00423CCA">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CA" w:rsidRDefault="00423CCA">
      <w:r>
        <w:separator/>
      </w:r>
    </w:p>
    <w:p w:rsidR="00423CCA" w:rsidRDefault="00423CCA"/>
  </w:footnote>
  <w:footnote w:type="continuationSeparator" w:id="0">
    <w:p w:rsidR="00423CCA" w:rsidRDefault="00423CCA">
      <w:r>
        <w:continuationSeparator/>
      </w:r>
    </w:p>
    <w:p w:rsidR="00423CCA" w:rsidRDefault="00423CCA"/>
  </w:footnote>
  <w:footnote w:type="continuationNotice" w:id="1">
    <w:p w:rsidR="00423CCA" w:rsidRDefault="00423C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8B4"/>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924"/>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85"/>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A76"/>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3CC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81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368"/>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373"/>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0FA"/>
    <w:rsid w:val="009061A3"/>
    <w:rsid w:val="009063B9"/>
    <w:rsid w:val="00906495"/>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9C"/>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42"/>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C1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B0"/>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B6"/>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3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9F50-AF6D-4C80-B920-F6C282B93699}">
  <ds:schemaRefs>
    <ds:schemaRef ds:uri="http://schemas.openxmlformats.org/officeDocument/2006/bibliography"/>
  </ds:schemaRefs>
</ds:datastoreItem>
</file>

<file path=customXml/itemProps2.xml><?xml version="1.0" encoding="utf-8"?>
<ds:datastoreItem xmlns:ds="http://schemas.openxmlformats.org/officeDocument/2006/customXml" ds:itemID="{4FD44136-99CD-4AC0-9EC7-0E0BAAA5983C}">
  <ds:schemaRefs>
    <ds:schemaRef ds:uri="http://schemas.openxmlformats.org/officeDocument/2006/bibliography"/>
  </ds:schemaRefs>
</ds:datastoreItem>
</file>

<file path=customXml/itemProps3.xml><?xml version="1.0" encoding="utf-8"?>
<ds:datastoreItem xmlns:ds="http://schemas.openxmlformats.org/officeDocument/2006/customXml" ds:itemID="{E63D91A1-9BD1-4557-B335-1D635865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14138</Words>
  <Characters>80589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152</cp:revision>
  <cp:lastPrinted>2021-09-20T08:27:00Z</cp:lastPrinted>
  <dcterms:created xsi:type="dcterms:W3CDTF">2021-04-02T09:49:00Z</dcterms:created>
  <dcterms:modified xsi:type="dcterms:W3CDTF">2024-03-26T08:35:00Z</dcterms:modified>
</cp:coreProperties>
</file>