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8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ТП-Пм9-231</w:t>
            </w:r>
            <w:bookmarkStart w:id="0" w:name="_GoBack"/>
            <w:bookmarkEnd w:id="0"/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549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03A1">
              <w:rPr>
                <w:rFonts w:ascii="Times New Roman" w:hAnsi="Times New Roman" w:cs="Times New Roman"/>
              </w:rPr>
              <w:t>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2023-03-02T12:40:00Z</dcterms:modified>
</cp:coreProperties>
</file>