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Pr="00CA417E"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 xml:space="preserve">«Выполнение </w:t>
      </w:r>
      <w:proofErr w:type="spellStart"/>
      <w:proofErr w:type="gramStart"/>
      <w:r>
        <w:rPr>
          <w:b/>
        </w:rPr>
        <w:t>строительно</w:t>
      </w:r>
      <w:proofErr w:type="spellEnd"/>
      <w:r>
        <w:rPr>
          <w:b/>
        </w:rPr>
        <w:t xml:space="preserve"> – монтажных</w:t>
      </w:r>
      <w:proofErr w:type="gramEnd"/>
      <w:r>
        <w:rPr>
          <w:b/>
        </w:rPr>
        <w:t xml:space="preserve"> и пусконаладочных работ              по объект</w:t>
      </w:r>
      <w:r w:rsidR="00D45CF2">
        <w:rPr>
          <w:b/>
        </w:rPr>
        <w:t>у для нужд АО «НЭСК-электросети</w:t>
      </w:r>
      <w:r>
        <w:rPr>
          <w:b/>
        </w:rPr>
        <w:t>»</w:t>
      </w:r>
      <w:r w:rsidR="00CA417E">
        <w:rPr>
          <w:b/>
        </w:rPr>
        <w:t xml:space="preserve"> в г. </w:t>
      </w:r>
      <w:r w:rsidR="00CA417E" w:rsidRPr="00CA417E">
        <w:rPr>
          <w:b/>
        </w:rPr>
        <w:t>Тихорецк</w:t>
      </w:r>
      <w:r w:rsidR="00CA417E">
        <w:rPr>
          <w:b/>
        </w:rPr>
        <w:t>»</w:t>
      </w:r>
    </w:p>
    <w:p w:rsidR="005A63B6" w:rsidRDefault="005A63B6" w:rsidP="005A63B6">
      <w:pPr>
        <w:ind w:firstLine="0"/>
        <w:jc w:val="center"/>
        <w:rPr>
          <w:b/>
        </w:rPr>
      </w:pPr>
    </w:p>
    <w:p w:rsidR="005A63B6" w:rsidRPr="00204F63" w:rsidRDefault="005A63B6" w:rsidP="005A63B6">
      <w:pPr>
        <w:ind w:firstLine="0"/>
        <w:jc w:val="center"/>
      </w:pPr>
      <w:r>
        <w:rPr>
          <w:b/>
        </w:rPr>
        <w:t>Конкурс 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F4278E">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644D4C"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5A63B6" w:rsidRPr="0085682C" w:rsidRDefault="005A63B6" w:rsidP="005A63B6">
      <w:pPr>
        <w:spacing w:after="120"/>
        <w:ind w:firstLine="0"/>
        <w:jc w:val="center"/>
        <w:rPr>
          <w:rStyle w:val="af4"/>
        </w:rPr>
      </w:pPr>
      <w:r w:rsidRPr="0079660F">
        <w:rPr>
          <w:szCs w:val="24"/>
        </w:rPr>
        <w:t xml:space="preserve">на закупку </w:t>
      </w:r>
      <w:r w:rsidRPr="000C192C">
        <w:rPr>
          <w:szCs w:val="24"/>
        </w:rPr>
        <w:t xml:space="preserve">«Выполнение </w:t>
      </w:r>
      <w:proofErr w:type="spellStart"/>
      <w:proofErr w:type="gramStart"/>
      <w:r w:rsidRPr="000C192C">
        <w:rPr>
          <w:szCs w:val="24"/>
        </w:rPr>
        <w:t>строительно</w:t>
      </w:r>
      <w:proofErr w:type="spellEnd"/>
      <w:r w:rsidRPr="000C192C">
        <w:rPr>
          <w:szCs w:val="24"/>
        </w:rPr>
        <w:t xml:space="preserve"> – монтажных</w:t>
      </w:r>
      <w:proofErr w:type="gramEnd"/>
      <w:r w:rsidRPr="000C192C">
        <w:rPr>
          <w:szCs w:val="24"/>
        </w:rPr>
        <w:t xml:space="preserve"> </w:t>
      </w:r>
      <w:r>
        <w:rPr>
          <w:szCs w:val="24"/>
        </w:rPr>
        <w:t xml:space="preserve">и пусконаладочных </w:t>
      </w:r>
      <w:r w:rsidRPr="000C192C">
        <w:rPr>
          <w:szCs w:val="24"/>
        </w:rPr>
        <w:t xml:space="preserve">работ </w:t>
      </w:r>
      <w:r>
        <w:rPr>
          <w:szCs w:val="24"/>
        </w:rPr>
        <w:t xml:space="preserve">                      </w:t>
      </w:r>
      <w:r w:rsidRPr="00FC5F11">
        <w:rPr>
          <w:szCs w:val="24"/>
        </w:rPr>
        <w:t>по объекту для нужд АО «</w:t>
      </w:r>
      <w:r w:rsidR="00D45CF2">
        <w:rPr>
          <w:szCs w:val="24"/>
        </w:rPr>
        <w:t>НЭСК-электросети</w:t>
      </w:r>
      <w:r w:rsidRPr="000C192C">
        <w:rPr>
          <w:szCs w:val="24"/>
        </w:rPr>
        <w:t>»</w:t>
      </w:r>
      <w:r w:rsidR="007F19C1">
        <w:rPr>
          <w:szCs w:val="24"/>
        </w:rPr>
        <w:t xml:space="preserve"> </w:t>
      </w:r>
      <w:r w:rsidR="00CA417E">
        <w:rPr>
          <w:szCs w:val="24"/>
        </w:rPr>
        <w:t xml:space="preserve">в г. </w:t>
      </w:r>
      <w:r w:rsidR="00CA417E" w:rsidRPr="00CA417E">
        <w:rPr>
          <w:szCs w:val="24"/>
        </w:rPr>
        <w:t>Тихорецк</w:t>
      </w:r>
      <w:r w:rsidR="00CA417E">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526DF312" wp14:editId="5F12E07D">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85682C" w:rsidRDefault="005A63B6" w:rsidP="005A63B6">
                  <w:pPr>
                    <w:ind w:firstLine="0"/>
                    <w:jc w:val="left"/>
                  </w:pPr>
                  <w:r>
                    <w:rPr>
                      <w:noProof/>
                      <w:szCs w:val="20"/>
                    </w:rPr>
                    <w:drawing>
                      <wp:inline distT="0" distB="0" distL="0" distR="0" wp14:anchorId="723B0B46" wp14:editId="5E2C83E6">
                        <wp:extent cx="169049" cy="169049"/>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6CCCF7FA" wp14:editId="0E522178">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7FDA9E94" wp14:editId="0102977E">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5B7A7CD6" wp14:editId="05140333">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6BCB7838" wp14:editId="77CFDB20">
                        <wp:extent cx="169049" cy="169049"/>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F91571" w:rsidP="005A63B6">
                  <w:pPr>
                    <w:ind w:firstLine="0"/>
                  </w:pPr>
                  <w:r>
                    <w:rPr>
                      <w:noProof/>
                      <w:szCs w:val="20"/>
                    </w:rPr>
                    <w:drawing>
                      <wp:inline distT="0" distB="0" distL="0" distR="0" wp14:anchorId="7C165248" wp14:editId="7F5F9781">
                        <wp:extent cx="169049" cy="169049"/>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F91571" w:rsidP="005A63B6">
                  <w:pPr>
                    <w:ind w:firstLine="0"/>
                  </w:pPr>
                  <w:r>
                    <w:rPr>
                      <w:noProof/>
                      <w:szCs w:val="20"/>
                    </w:rPr>
                    <w:drawing>
                      <wp:inline distT="0" distB="0" distL="0" distR="0" wp14:anchorId="114419BD" wp14:editId="7C9C3475">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0F9573AE" wp14:editId="73838165">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1707FFD2" wp14:editId="28EDE625">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49A2DE86" wp14:editId="083FA6A8">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0CE924B2" wp14:editId="673173D7">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6F35DB44" wp14:editId="0029A995">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CA417E" w:rsidRDefault="00CA417E" w:rsidP="00CA417E">
            <w:pPr>
              <w:pStyle w:val="Default"/>
              <w:jc w:val="both"/>
              <w:rPr>
                <w:b/>
                <w:i/>
                <w:sz w:val="23"/>
                <w:szCs w:val="23"/>
              </w:rPr>
            </w:pPr>
            <w:r w:rsidRPr="00CA417E">
              <w:rPr>
                <w:b/>
                <w:i/>
              </w:rPr>
              <w:t>«</w:t>
            </w:r>
            <w:r w:rsidRPr="00CA417E">
              <w:rPr>
                <w:b/>
                <w:i/>
              </w:rPr>
              <w:t xml:space="preserve">Выполнение </w:t>
            </w:r>
            <w:proofErr w:type="spellStart"/>
            <w:proofErr w:type="gramStart"/>
            <w:r w:rsidRPr="00CA417E">
              <w:rPr>
                <w:b/>
                <w:i/>
              </w:rPr>
              <w:t>строительно</w:t>
            </w:r>
            <w:proofErr w:type="spellEnd"/>
            <w:r w:rsidRPr="00CA417E">
              <w:rPr>
                <w:b/>
                <w:i/>
              </w:rPr>
              <w:t xml:space="preserve"> – монтажных</w:t>
            </w:r>
            <w:proofErr w:type="gramEnd"/>
            <w:r w:rsidRPr="00CA417E">
              <w:rPr>
                <w:b/>
                <w:i/>
              </w:rPr>
              <w:t xml:space="preserve"> и пусконаладочных работ по объекту для нужд </w:t>
            </w:r>
            <w:r>
              <w:rPr>
                <w:b/>
                <w:i/>
              </w:rPr>
              <w:t xml:space="preserve">                    </w:t>
            </w:r>
            <w:r w:rsidRPr="00CA417E">
              <w:rPr>
                <w:b/>
                <w:i/>
              </w:rPr>
              <w:t>АО «НЭСК-электросети» в г. Тихорецк</w:t>
            </w:r>
            <w:r w:rsidRPr="00CA417E">
              <w:rPr>
                <w:b/>
                <w:i/>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595B5F91" wp14:editId="216E1E7D">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189456FD" wp14:editId="0DD9D685">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9075F0A" wp14:editId="2AD601B6">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6F0C7F5A" wp14:editId="4D7E9089">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0B7BC6E4" wp14:editId="2689DA9E">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1194A54F" wp14:editId="0E968D3C">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40B4FFDA" wp14:editId="7AC82BDA">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C474C58" wp14:editId="0648B971">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2EFEE610" wp14:editId="03CCCEA1">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631FAFA8" wp14:editId="51A2B093">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CA417E">
            <w:pPr>
              <w:ind w:firstLine="0"/>
              <w:rPr>
                <w:sz w:val="20"/>
                <w:szCs w:val="20"/>
              </w:rPr>
            </w:pPr>
            <w:r w:rsidRPr="00B369CD">
              <w:rPr>
                <w:szCs w:val="24"/>
              </w:rPr>
              <w:t>8(861) 992-10-92</w:t>
            </w:r>
            <w:bookmarkStart w:id="12" w:name="_GoBack"/>
            <w:bookmarkEnd w:id="12"/>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rStyle w:val="af4"/>
                <w:i w:val="0"/>
                <w:sz w:val="20"/>
                <w:szCs w:val="20"/>
                <w:shd w:val="clear" w:color="auto" w:fill="FFFFFF" w:themeFill="background1"/>
              </w:rPr>
            </w:pPr>
            <w:r w:rsidRPr="00DA743E">
              <w:rPr>
                <w:szCs w:val="24"/>
                <w:lang w:val="en-US"/>
              </w:rPr>
              <w:t>svejencevags@nesk-elseti.ru</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pBdr>
                <w:bottom w:val="single" w:sz="4" w:space="1" w:color="auto"/>
              </w:pBdr>
              <w:ind w:firstLine="0"/>
              <w:rPr>
                <w:szCs w:val="24"/>
              </w:rPr>
            </w:pPr>
            <w:r w:rsidRPr="00B369CD">
              <w:rPr>
                <w:szCs w:val="24"/>
              </w:rPr>
              <w:t xml:space="preserve">По процедурным вопросам: </w:t>
            </w:r>
          </w:p>
          <w:p w:rsidR="00DA743E" w:rsidRPr="00DA743E" w:rsidRDefault="0059070B" w:rsidP="00DA743E">
            <w:pPr>
              <w:ind w:firstLine="0"/>
              <w:rPr>
                <w:szCs w:val="24"/>
              </w:rPr>
            </w:pPr>
            <w:r>
              <w:rPr>
                <w:szCs w:val="24"/>
              </w:rPr>
              <w:t>Ведущий с</w:t>
            </w:r>
            <w:r w:rsidR="005A63B6" w:rsidRPr="00B369CD">
              <w:rPr>
                <w:szCs w:val="24"/>
              </w:rPr>
              <w:t xml:space="preserve">пециалист </w:t>
            </w:r>
            <w:proofErr w:type="spellStart"/>
            <w:r w:rsidR="005A63B6">
              <w:rPr>
                <w:szCs w:val="24"/>
              </w:rPr>
              <w:t>ОЛиМТО</w:t>
            </w:r>
            <w:proofErr w:type="spellEnd"/>
            <w:r w:rsidR="005A63B6" w:rsidRPr="00130431">
              <w:rPr>
                <w:szCs w:val="24"/>
              </w:rPr>
              <w:t xml:space="preserve"> </w:t>
            </w:r>
            <w:r w:rsidR="00DA743E">
              <w:rPr>
                <w:szCs w:val="24"/>
              </w:rPr>
              <w:t>Свеженцева Галина Сергеевна</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sz w:val="20"/>
                <w:szCs w:val="20"/>
              </w:rPr>
            </w:pPr>
            <w:r w:rsidRPr="00DA743E">
              <w:rPr>
                <w:szCs w:val="24"/>
              </w:rPr>
              <w:t>svejencevags@nesk-elseti.ru</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CA417E" w:rsidP="00CA417E">
            <w:pPr>
              <w:ind w:firstLine="0"/>
              <w:rPr>
                <w:sz w:val="20"/>
                <w:szCs w:val="20"/>
              </w:rPr>
            </w:pPr>
            <w:r>
              <w:rPr>
                <w:szCs w:val="24"/>
              </w:rPr>
              <w:t>(861)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695CCA7F" wp14:editId="27D154D6">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24B06265" wp14:editId="1DBB8F91">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r w:rsidR="00CA417E" w:rsidRPr="00BA6234">
                    <w:rPr>
                      <w:sz w:val="22"/>
                      <w:szCs w:val="20"/>
                    </w:rPr>
                    <w:t xml:space="preserve">Князев Михаил Юрьевич </w:t>
                  </w:r>
                  <w:r w:rsidR="00CA417E" w:rsidRPr="00E549A9">
                    <w:rPr>
                      <w:sz w:val="22"/>
                      <w:szCs w:val="20"/>
                    </w:rPr>
                    <w:t>(</w:t>
                  </w:r>
                  <w:r w:rsidR="00CA417E">
                    <w:rPr>
                      <w:sz w:val="22"/>
                      <w:szCs w:val="20"/>
                    </w:rPr>
                    <w:t>начальник ОКС</w:t>
                  </w:r>
                  <w:r w:rsidR="00CA417E" w:rsidRPr="00E549A9">
                    <w:rPr>
                      <w:sz w:val="22"/>
                      <w:szCs w:val="20"/>
                    </w:rPr>
                    <w:t>)</w:t>
                  </w:r>
                </w:p>
                <w:p w:rsidR="005A63B6" w:rsidRPr="0085682C" w:rsidRDefault="005A63B6" w:rsidP="005A63B6">
                  <w:pPr>
                    <w:pBdr>
                      <w:bottom w:val="single" w:sz="4" w:space="1" w:color="auto"/>
                    </w:pBdr>
                    <w:ind w:firstLine="0"/>
                    <w:rPr>
                      <w:sz w:val="22"/>
                      <w:szCs w:val="20"/>
                    </w:rPr>
                  </w:pPr>
                  <w:r>
                    <w:rPr>
                      <w:sz w:val="22"/>
                      <w:szCs w:val="20"/>
                    </w:rPr>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9C5E3D">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BF4C19">
            <w:pPr>
              <w:ind w:firstLine="0"/>
              <w:rPr>
                <w:szCs w:val="20"/>
              </w:rPr>
            </w:pPr>
            <w:r>
              <w:rPr>
                <w:szCs w:val="20"/>
              </w:rPr>
              <w:t xml:space="preserve">           </w:t>
            </w:r>
            <w:r w:rsidR="0041308B">
              <w:rPr>
                <w:szCs w:val="20"/>
              </w:rPr>
              <w:t>«</w:t>
            </w:r>
            <w:r w:rsidR="00BF4C19">
              <w:rPr>
                <w:szCs w:val="20"/>
              </w:rPr>
              <w:t>21</w:t>
            </w:r>
            <w:r w:rsidR="0041308B">
              <w:rPr>
                <w:szCs w:val="20"/>
              </w:rPr>
              <w:t xml:space="preserve">» </w:t>
            </w:r>
            <w:r w:rsidR="0059070B">
              <w:rPr>
                <w:szCs w:val="20"/>
              </w:rPr>
              <w:t>марта</w:t>
            </w:r>
            <w:r w:rsidR="0013433F" w:rsidRPr="008A3569">
              <w:rPr>
                <w:szCs w:val="20"/>
              </w:rPr>
              <w:t xml:space="preserve"> </w:t>
            </w:r>
            <w:r w:rsidRPr="00B369CD">
              <w:rPr>
                <w:szCs w:val="20"/>
              </w:rPr>
              <w:t>20</w:t>
            </w:r>
            <w:r>
              <w:rPr>
                <w:szCs w:val="20"/>
              </w:rPr>
              <w:t>2</w:t>
            </w:r>
            <w:r w:rsidR="00F4278E">
              <w:rPr>
                <w:szCs w:val="20"/>
              </w:rPr>
              <w:t>3</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41308B" w:rsidP="00BF4C19">
                  <w:pPr>
                    <w:ind w:firstLine="0"/>
                    <w:rPr>
                      <w:b/>
                      <w:szCs w:val="20"/>
                      <w:shd w:val="clear" w:color="auto" w:fill="FFFFFF" w:themeFill="background1"/>
                    </w:rPr>
                  </w:pPr>
                  <w:r>
                    <w:rPr>
                      <w:szCs w:val="20"/>
                    </w:rPr>
                    <w:t>«</w:t>
                  </w:r>
                  <w:r w:rsidR="00BF4C19">
                    <w:rPr>
                      <w:szCs w:val="20"/>
                    </w:rPr>
                    <w:t>21</w:t>
                  </w:r>
                  <w:r>
                    <w:rPr>
                      <w:szCs w:val="20"/>
                    </w:rPr>
                    <w:t xml:space="preserve">» </w:t>
                  </w:r>
                  <w:r w:rsidR="0059070B">
                    <w:rPr>
                      <w:szCs w:val="20"/>
                    </w:rPr>
                    <w:t>марта</w:t>
                  </w:r>
                  <w:r w:rsidR="0013433F" w:rsidRPr="008A3569">
                    <w:rPr>
                      <w:szCs w:val="20"/>
                    </w:rPr>
                    <w:t xml:space="preserve"> </w:t>
                  </w:r>
                  <w:r w:rsidR="005A63B6" w:rsidRPr="00B369CD">
                    <w:rPr>
                      <w:rStyle w:val="af4"/>
                      <w:b w:val="0"/>
                      <w:i w:val="0"/>
                      <w:szCs w:val="20"/>
                      <w:shd w:val="clear" w:color="auto" w:fill="auto"/>
                    </w:rPr>
                    <w:t>20</w:t>
                  </w:r>
                  <w:r w:rsidR="005A63B6">
                    <w:rPr>
                      <w:rStyle w:val="af4"/>
                      <w:b w:val="0"/>
                      <w:i w:val="0"/>
                      <w:szCs w:val="20"/>
                      <w:shd w:val="clear" w:color="auto" w:fill="auto"/>
                    </w:rPr>
                    <w:t>2</w:t>
                  </w:r>
                  <w:r w:rsidR="00F4278E">
                    <w:rPr>
                      <w:rStyle w:val="af4"/>
                      <w:b w:val="0"/>
                      <w:i w:val="0"/>
                      <w:szCs w:val="20"/>
                      <w:shd w:val="clear" w:color="auto" w:fill="auto"/>
                    </w:rPr>
                    <w:t>3</w:t>
                  </w:r>
                  <w:r w:rsidR="005A63B6" w:rsidRPr="00B369CD">
                    <w:rPr>
                      <w:rStyle w:val="af4"/>
                      <w:b w:val="0"/>
                      <w:i w:val="0"/>
                      <w:szCs w:val="20"/>
                      <w:shd w:val="clear" w:color="auto" w:fill="auto"/>
                    </w:rPr>
                    <w:t xml:space="preserve"> г. в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3F7F5D1B" wp14:editId="1423ADD4">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37D04966" wp14:editId="4C9CAE69">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31DBE29D" wp14:editId="5B916D29">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906D5D">
                    <w:rPr>
                      <w:rStyle w:val="af4"/>
                      <w:b w:val="0"/>
                      <w:i w:val="0"/>
                      <w:szCs w:val="20"/>
                      <w:shd w:val="clear" w:color="auto" w:fill="auto"/>
                    </w:rPr>
                    <w:t>2</w:t>
                  </w:r>
                  <w:r w:rsidR="00CA417E">
                    <w:rPr>
                      <w:rStyle w:val="af4"/>
                      <w:b w:val="0"/>
                      <w:i w:val="0"/>
                      <w:szCs w:val="20"/>
                      <w:shd w:val="clear" w:color="auto" w:fill="auto"/>
                    </w:rPr>
                    <w:t>8</w:t>
                  </w:r>
                  <w:r w:rsidRPr="00B369CD">
                    <w:rPr>
                      <w:rStyle w:val="af4"/>
                      <w:b w:val="0"/>
                      <w:i w:val="0"/>
                      <w:szCs w:val="20"/>
                      <w:shd w:val="clear" w:color="auto" w:fill="auto"/>
                    </w:rPr>
                    <w:t xml:space="preserve">» </w:t>
                  </w:r>
                  <w:r w:rsidR="0059070B">
                    <w:rPr>
                      <w:szCs w:val="20"/>
                    </w:rPr>
                    <w:t>марта</w:t>
                  </w:r>
                  <w:r w:rsidR="00373A1A"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2</w:t>
                  </w:r>
                  <w:r w:rsidR="00933E1C">
                    <w:rPr>
                      <w:rStyle w:val="af4"/>
                      <w:b w:val="0"/>
                      <w:i w:val="0"/>
                      <w:szCs w:val="20"/>
                      <w:shd w:val="clear" w:color="auto" w:fill="auto"/>
                    </w:rPr>
                    <w:t>3</w:t>
                  </w:r>
                  <w:r>
                    <w:rPr>
                      <w:rStyle w:val="af4"/>
                      <w:b w:val="0"/>
                      <w:i w:val="0"/>
                      <w:szCs w:val="20"/>
                      <w:shd w:val="clear" w:color="auto" w:fill="auto"/>
                    </w:rPr>
                    <w:t xml:space="preserve">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7515ACB6" wp14:editId="5B8FB4C2">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33164D05" wp14:editId="79958AC9">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78FA3647" wp14:editId="32014C56">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9C5E3D">
              <w:trPr>
                <w:trHeight w:val="270"/>
              </w:trPr>
              <w:tc>
                <w:tcPr>
                  <w:tcW w:w="587" w:type="dxa"/>
                </w:tcPr>
                <w:p w:rsidR="00796DF9" w:rsidRPr="0085682C" w:rsidRDefault="00796DF9" w:rsidP="009C5E3D">
                  <w:pPr>
                    <w:ind w:firstLine="0"/>
                    <w:jc w:val="left"/>
                  </w:pPr>
                </w:p>
              </w:tc>
              <w:tc>
                <w:tcPr>
                  <w:tcW w:w="5933" w:type="dxa"/>
                  <w:vAlign w:val="center"/>
                </w:tcPr>
                <w:p w:rsidR="00796DF9" w:rsidRPr="008A3569" w:rsidRDefault="00796DF9" w:rsidP="00CA417E">
                  <w:pPr>
                    <w:ind w:firstLine="0"/>
                    <w:rPr>
                      <w:b/>
                      <w:szCs w:val="20"/>
                      <w:shd w:val="clear" w:color="auto" w:fill="FFFFFF" w:themeFill="background1"/>
                    </w:rPr>
                  </w:pPr>
                  <w:r w:rsidRPr="008A3569">
                    <w:rPr>
                      <w:szCs w:val="20"/>
                    </w:rPr>
                    <w:t>«</w:t>
                  </w:r>
                  <w:r w:rsidR="00906D5D">
                    <w:rPr>
                      <w:szCs w:val="20"/>
                    </w:rPr>
                    <w:t>2</w:t>
                  </w:r>
                  <w:r w:rsidR="00CA417E">
                    <w:rPr>
                      <w:szCs w:val="20"/>
                    </w:rPr>
                    <w:t>8</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tc>
            </w:tr>
          </w:tbl>
          <w:p w:rsidR="00796DF9" w:rsidRPr="009D5730" w:rsidRDefault="00796DF9" w:rsidP="009C5E3D">
            <w:pPr>
              <w:ind w:firstLine="0"/>
              <w:rPr>
                <w:sz w:val="20"/>
                <w:szCs w:val="20"/>
              </w:rPr>
            </w:pPr>
          </w:p>
        </w:tc>
      </w:tr>
      <w:tr w:rsidR="00CA417E"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CA417E" w:rsidRPr="0085682C" w:rsidRDefault="00CA417E"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A417E" w:rsidRDefault="00CA417E"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A417E" w:rsidRPr="008A3569" w:rsidTr="00017C0A">
              <w:trPr>
                <w:trHeight w:val="217"/>
              </w:trPr>
              <w:tc>
                <w:tcPr>
                  <w:tcW w:w="587" w:type="dxa"/>
                  <w:vAlign w:val="center"/>
                </w:tcPr>
                <w:p w:rsidR="00CA417E" w:rsidRPr="0085682C" w:rsidRDefault="00CA417E" w:rsidP="00017C0A">
                  <w:pPr>
                    <w:ind w:firstLine="0"/>
                  </w:pPr>
                </w:p>
              </w:tc>
              <w:tc>
                <w:tcPr>
                  <w:tcW w:w="5933" w:type="dxa"/>
                  <w:vAlign w:val="center"/>
                </w:tcPr>
                <w:p w:rsidR="00CA417E" w:rsidRPr="008A3569" w:rsidRDefault="00CA417E" w:rsidP="00CA417E">
                  <w:pPr>
                    <w:pStyle w:val="af1"/>
                    <w:spacing w:before="0" w:after="0"/>
                    <w:ind w:left="0"/>
                    <w:jc w:val="both"/>
                    <w:rPr>
                      <w:szCs w:val="20"/>
                    </w:rPr>
                  </w:pPr>
                  <w:r>
                    <w:rPr>
                      <w:szCs w:val="20"/>
                    </w:rPr>
                    <w:t>«2</w:t>
                  </w:r>
                  <w:r>
                    <w:rPr>
                      <w:szCs w:val="20"/>
                    </w:rPr>
                    <w:t>8</w:t>
                  </w:r>
                  <w:r w:rsidRPr="008A3569">
                    <w:rPr>
                      <w:szCs w:val="20"/>
                    </w:rPr>
                    <w:t xml:space="preserve">» </w:t>
                  </w:r>
                  <w:r>
                    <w:rPr>
                      <w:szCs w:val="20"/>
                    </w:rPr>
                    <w:t>марта</w:t>
                  </w:r>
                  <w:r w:rsidRPr="008A3569">
                    <w:rPr>
                      <w:szCs w:val="20"/>
                    </w:rPr>
                    <w:t xml:space="preserve"> </w:t>
                  </w:r>
                  <w:r w:rsidRPr="008A3569">
                    <w:rPr>
                      <w:szCs w:val="20"/>
                      <w:shd w:val="clear" w:color="auto" w:fill="FFFFFF" w:themeFill="background1"/>
                    </w:rPr>
                    <w:t>20</w:t>
                  </w:r>
                  <w:r>
                    <w:rPr>
                      <w:szCs w:val="20"/>
                      <w:shd w:val="clear" w:color="auto" w:fill="FFFFFF" w:themeFill="background1"/>
                    </w:rPr>
                    <w:t>23</w:t>
                  </w:r>
                  <w:r w:rsidRPr="008A3569">
                    <w:rPr>
                      <w:szCs w:val="20"/>
                      <w:shd w:val="clear" w:color="auto" w:fill="FFFFFF" w:themeFill="background1"/>
                    </w:rPr>
                    <w:t xml:space="preserve"> г.</w:t>
                  </w:r>
                </w:p>
              </w:tc>
            </w:tr>
          </w:tbl>
          <w:p w:rsidR="00CA417E" w:rsidRPr="0085682C" w:rsidRDefault="00CA417E" w:rsidP="009C5E3D">
            <w:pPr>
              <w:ind w:firstLine="0"/>
              <w:jc w:val="left"/>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Дата и время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rStyle w:val="af4"/>
                <w:b w:val="0"/>
                <w:i w:val="0"/>
                <w:szCs w:val="20"/>
                <w:shd w:val="clear" w:color="auto" w:fill="auto"/>
              </w:rPr>
            </w:pPr>
            <w:r>
              <w:rPr>
                <w:szCs w:val="20"/>
              </w:rPr>
              <w:t xml:space="preserve">            </w:t>
            </w:r>
            <w:r w:rsidRPr="008A3569">
              <w:rPr>
                <w:szCs w:val="20"/>
              </w:rPr>
              <w:t>«</w:t>
            </w:r>
            <w:r w:rsidR="00CA417E">
              <w:rPr>
                <w:szCs w:val="20"/>
              </w:rPr>
              <w:t>29</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r w:rsidR="007B0288" w:rsidRPr="00B369CD">
              <w:rPr>
                <w:rStyle w:val="af4"/>
                <w:b w:val="0"/>
                <w:i w:val="0"/>
                <w:szCs w:val="20"/>
                <w:shd w:val="clear" w:color="auto" w:fill="auto"/>
              </w:rPr>
              <w:t>«</w:t>
            </w:r>
            <w:r w:rsidR="007B0288">
              <w:rPr>
                <w:rStyle w:val="af4"/>
                <w:b w:val="0"/>
                <w:i w:val="0"/>
                <w:szCs w:val="20"/>
                <w:shd w:val="clear" w:color="auto" w:fill="auto"/>
              </w:rPr>
              <w:t>0</w:t>
            </w:r>
            <w:r w:rsidR="00B7396D">
              <w:rPr>
                <w:rStyle w:val="af4"/>
                <w:b w:val="0"/>
                <w:i w:val="0"/>
                <w:szCs w:val="20"/>
                <w:shd w:val="clear" w:color="auto" w:fill="auto"/>
              </w:rPr>
              <w:t>8</w:t>
            </w:r>
            <w:r w:rsidR="007B0288" w:rsidRPr="00B369CD">
              <w:rPr>
                <w:rStyle w:val="af4"/>
                <w:b w:val="0"/>
                <w:i w:val="0"/>
                <w:szCs w:val="20"/>
                <w:shd w:val="clear" w:color="auto" w:fill="auto"/>
              </w:rPr>
              <w:t xml:space="preserve"> ч</w:t>
            </w:r>
            <w:proofErr w:type="gramStart"/>
            <w:r w:rsidR="007B0288" w:rsidRPr="00B369CD">
              <w:rPr>
                <w:rStyle w:val="af4"/>
                <w:b w:val="0"/>
                <w:i w:val="0"/>
                <w:szCs w:val="20"/>
                <w:shd w:val="clear" w:color="auto" w:fill="auto"/>
              </w:rPr>
              <w:t xml:space="preserve"> :</w:t>
            </w:r>
            <w:proofErr w:type="gramEnd"/>
            <w:r w:rsidR="007B0288" w:rsidRPr="00B369CD">
              <w:rPr>
                <w:rStyle w:val="af4"/>
                <w:b w:val="0"/>
                <w:i w:val="0"/>
                <w:szCs w:val="20"/>
                <w:shd w:val="clear" w:color="auto" w:fill="auto"/>
              </w:rPr>
              <w:t xml:space="preserve"> 00 м»</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r w:rsidR="00796DF9" w:rsidRPr="0085682C" w:rsidTr="001F56C4">
        <w:trPr>
          <w:trHeight w:val="1008"/>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и время окончания срока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szCs w:val="20"/>
                <w:shd w:val="clear" w:color="auto" w:fill="FFFFFF" w:themeFill="background1"/>
              </w:rPr>
            </w:pPr>
            <w:r>
              <w:rPr>
                <w:szCs w:val="20"/>
              </w:rPr>
              <w:t xml:space="preserve">            </w:t>
            </w:r>
            <w:r w:rsidRPr="008A3569">
              <w:rPr>
                <w:szCs w:val="20"/>
              </w:rPr>
              <w:t>«</w:t>
            </w:r>
            <w:r w:rsidR="00CA417E">
              <w:rPr>
                <w:szCs w:val="20"/>
              </w:rPr>
              <w:t>29</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 (+3 часа)</w:t>
            </w:r>
          </w:p>
        </w:tc>
      </w:tr>
      <w:tr w:rsidR="00796DF9" w:rsidRPr="0085682C" w:rsidTr="005A63B6">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Default="00796DF9" w:rsidP="009C5E3D">
            <w:pPr>
              <w:ind w:firstLine="0"/>
              <w:rPr>
                <w:sz w:val="20"/>
                <w:szCs w:val="20"/>
              </w:rPr>
            </w:pPr>
            <w:r>
              <w:rPr>
                <w:sz w:val="20"/>
                <w:szCs w:val="20"/>
              </w:rPr>
              <w:t>Дата проведения сопоставления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7901C6" w:rsidRDefault="00796DF9" w:rsidP="009C5E3D">
            <w:pPr>
              <w:ind w:firstLine="0"/>
              <w:rPr>
                <w:szCs w:val="20"/>
                <w:shd w:val="clear" w:color="auto" w:fill="FFFFFF" w:themeFill="background1"/>
              </w:rPr>
            </w:pPr>
            <w:r>
              <w:rPr>
                <w:szCs w:val="20"/>
              </w:rPr>
              <w:t xml:space="preserve">             «</w:t>
            </w:r>
            <w:r w:rsidR="00CA417E">
              <w:rPr>
                <w:szCs w:val="20"/>
              </w:rPr>
              <w:t>29</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w:t>
            </w:r>
          </w:p>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96DF9" w:rsidRPr="0085682C" w:rsidTr="009C5E3D">
              <w:trPr>
                <w:trHeight w:val="317"/>
              </w:trPr>
              <w:tc>
                <w:tcPr>
                  <w:tcW w:w="282" w:type="dxa"/>
                  <w:vAlign w:val="center"/>
                </w:tcPr>
                <w:p w:rsidR="00796DF9" w:rsidRPr="0085682C" w:rsidRDefault="00796DF9" w:rsidP="009C5E3D">
                  <w:pPr>
                    <w:ind w:firstLine="0"/>
                    <w:rPr>
                      <w:sz w:val="22"/>
                      <w:szCs w:val="20"/>
                    </w:rPr>
                  </w:pPr>
                  <w:r>
                    <w:rPr>
                      <w:noProof/>
                    </w:rPr>
                    <w:drawing>
                      <wp:inline distT="0" distB="0" distL="0" distR="0" wp14:anchorId="76DA5389" wp14:editId="30C395DF">
                        <wp:extent cx="16129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2081"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796DF9" w:rsidRPr="0085682C" w:rsidRDefault="00796DF9" w:rsidP="009C5E3D">
                  <w:pPr>
                    <w:ind w:firstLine="0"/>
                    <w:rPr>
                      <w:sz w:val="22"/>
                      <w:szCs w:val="20"/>
                    </w:rPr>
                  </w:pPr>
                  <w:r>
                    <w:rPr>
                      <w:noProof/>
                    </w:rPr>
                    <w:drawing>
                      <wp:inline distT="0" distB="0" distL="0" distR="0" wp14:anchorId="5A596374" wp14:editId="32493202">
                        <wp:extent cx="16129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796DF9" w:rsidRPr="0085682C" w:rsidRDefault="00796DF9" w:rsidP="009C5E3D">
                  <w:pPr>
                    <w:ind w:firstLine="0"/>
                    <w:rPr>
                      <w:sz w:val="22"/>
                    </w:rPr>
                  </w:pPr>
                  <w:r>
                    <w:rPr>
                      <w:noProof/>
                    </w:rPr>
                    <w:drawing>
                      <wp:inline distT="0" distB="0" distL="0" distR="0" wp14:anchorId="3D103A8A" wp14:editId="32A2825F">
                        <wp:extent cx="16129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796DF9" w:rsidRPr="0085682C" w:rsidRDefault="00796DF9" w:rsidP="009C5E3D">
                  <w:pPr>
                    <w:pStyle w:val="af1"/>
                    <w:spacing w:before="0" w:after="0"/>
                    <w:ind w:left="0"/>
                    <w:jc w:val="both"/>
                    <w:rPr>
                      <w:rStyle w:val="ad"/>
                      <w:sz w:val="22"/>
                    </w:rPr>
                  </w:pPr>
                  <w:r w:rsidRPr="0085682C">
                    <w:rPr>
                      <w:sz w:val="22"/>
                    </w:rPr>
                    <w:t>Коммерческой части заявок</w:t>
                  </w:r>
                </w:p>
              </w:tc>
            </w:tr>
          </w:tbl>
          <w:p w:rsidR="00796DF9" w:rsidRDefault="00796DF9" w:rsidP="009C5E3D">
            <w:pPr>
              <w:ind w:firstLine="0"/>
              <w:rPr>
                <w:szCs w:val="20"/>
              </w:rPr>
            </w:pP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CA417E">
            <w:pPr>
              <w:ind w:firstLine="0"/>
              <w:rPr>
                <w:szCs w:val="20"/>
              </w:rPr>
            </w:pPr>
            <w:r w:rsidRPr="008A3569">
              <w:rPr>
                <w:szCs w:val="20"/>
              </w:rPr>
              <w:t>не позднее «</w:t>
            </w:r>
            <w:r w:rsidR="00906D5D">
              <w:rPr>
                <w:szCs w:val="20"/>
              </w:rPr>
              <w:t>1</w:t>
            </w:r>
            <w:r w:rsidR="00CA417E">
              <w:rPr>
                <w:szCs w:val="20"/>
              </w:rPr>
              <w:t>4</w:t>
            </w:r>
            <w:r w:rsidRPr="008A3569">
              <w:rPr>
                <w:szCs w:val="20"/>
              </w:rPr>
              <w:t xml:space="preserve">» </w:t>
            </w:r>
            <w:r w:rsidR="00906D5D">
              <w:rPr>
                <w:szCs w:val="20"/>
              </w:rPr>
              <w:t>апреля</w:t>
            </w:r>
            <w:r w:rsidR="00B6617E" w:rsidRPr="008A3569">
              <w:rPr>
                <w:szCs w:val="20"/>
              </w:rPr>
              <w:t xml:space="preserve"> </w:t>
            </w:r>
            <w:r w:rsidRPr="008A3569">
              <w:rPr>
                <w:szCs w:val="20"/>
              </w:rPr>
              <w:t>20</w:t>
            </w:r>
            <w:r>
              <w:rPr>
                <w:szCs w:val="20"/>
              </w:rPr>
              <w:t>2</w:t>
            </w:r>
            <w:r w:rsidR="00933E1C">
              <w:rPr>
                <w:szCs w:val="20"/>
              </w:rPr>
              <w:t>3</w:t>
            </w:r>
            <w:r w:rsidR="00373A1A">
              <w:rPr>
                <w:szCs w:val="20"/>
              </w:rPr>
              <w:t xml:space="preserve"> г.</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47D7F487" wp14:editId="42CCB429">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44A6BE25" wp14:editId="4BD96F2D">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66E6E39D" wp14:editId="42B6F4A6">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CA417E"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43E5D079" wp14:editId="627B7A1C">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5"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3608814E" wp14:editId="7F554DD8">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CA417E"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069866BC" wp14:editId="1FA9F92A">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F06045" w:rsidP="005A63B6">
                  <w:pPr>
                    <w:pStyle w:val="af1"/>
                    <w:spacing w:before="0" w:after="0"/>
                    <w:ind w:left="0"/>
                    <w:rPr>
                      <w:szCs w:val="20"/>
                      <w:lang w:val="en-US"/>
                    </w:rPr>
                  </w:pPr>
                  <w:hyperlink r:id="rId26"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8D7A9B"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D7A9B"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1DCF3826" wp14:editId="31A9BA49">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3" w:name="dst10810"/>
            <w:bookmarkEnd w:id="13"/>
          </w:p>
        </w:tc>
      </w:tr>
    </w:tbl>
    <w:p w:rsidR="005A63B6" w:rsidRPr="0085682C" w:rsidRDefault="005A63B6" w:rsidP="005A63B6">
      <w:pPr>
        <w:ind w:firstLine="0"/>
        <w:rPr>
          <w:rFonts w:eastAsia="Calibri"/>
          <w:szCs w:val="22"/>
          <w:lang w:eastAsia="en-US"/>
        </w:rPr>
        <w:sectPr w:rsidR="005A63B6" w:rsidRPr="0085682C" w:rsidSect="007A2AA2">
          <w:headerReference w:type="even" r:id="rId27"/>
          <w:headerReference w:type="default" r:id="rId28"/>
          <w:headerReference w:type="first" r:id="rId29"/>
          <w:pgSz w:w="11906" w:h="16838" w:code="9"/>
          <w:pgMar w:top="510" w:right="1021" w:bottom="567" w:left="1247" w:header="737" w:footer="680" w:gutter="0"/>
          <w:cols w:space="708"/>
          <w:docGrid w:linePitch="360"/>
        </w:sectPr>
      </w:pPr>
    </w:p>
    <w:p w:rsidR="007B0288" w:rsidRDefault="007B0288" w:rsidP="004D3379">
      <w:pPr>
        <w:ind w:firstLine="0"/>
        <w:jc w:val="center"/>
        <w:rPr>
          <w:b/>
          <w:sz w:val="26"/>
          <w:szCs w:val="26"/>
        </w:rPr>
      </w:pPr>
    </w:p>
    <w:p w:rsidR="004D3379" w:rsidRPr="0085682C" w:rsidRDefault="004D3379" w:rsidP="007B0288">
      <w:pPr>
        <w:spacing w:after="120"/>
        <w:ind w:firstLine="0"/>
        <w:jc w:val="center"/>
        <w:rPr>
          <w:b/>
          <w:sz w:val="26"/>
          <w:szCs w:val="26"/>
        </w:rPr>
      </w:pPr>
      <w:r w:rsidRPr="0085682C">
        <w:rPr>
          <w:b/>
          <w:sz w:val="26"/>
          <w:szCs w:val="26"/>
        </w:rPr>
        <w:t>Сведения о лот</w:t>
      </w:r>
      <w:r w:rsidR="00A13C7F" w:rsidRPr="0085682C">
        <w:rPr>
          <w:b/>
          <w:sz w:val="26"/>
          <w:szCs w:val="26"/>
        </w:rPr>
        <w:t>е/лотах</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1134"/>
        <w:gridCol w:w="1134"/>
        <w:gridCol w:w="1418"/>
        <w:gridCol w:w="1559"/>
      </w:tblGrid>
      <w:tr w:rsidR="004446C9" w:rsidRPr="0085682C" w:rsidTr="00CA417E">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1134" w:type="dxa"/>
          </w:tcPr>
          <w:p w:rsidR="004446C9" w:rsidRPr="0085682C" w:rsidRDefault="004446C9" w:rsidP="00386CB1">
            <w:pPr>
              <w:ind w:firstLine="0"/>
              <w:jc w:val="center"/>
              <w:rPr>
                <w:sz w:val="16"/>
              </w:rPr>
            </w:pPr>
            <w:r w:rsidRPr="0085682C">
              <w:rPr>
                <w:sz w:val="16"/>
                <w:szCs w:val="20"/>
              </w:rPr>
              <w:t>Количество (Объём)</w:t>
            </w:r>
          </w:p>
        </w:tc>
        <w:tc>
          <w:tcPr>
            <w:tcW w:w="1134"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CA417E">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CA417E">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vAlign w:val="center"/>
          </w:tcPr>
          <w:p w:rsidR="004446C9" w:rsidRPr="0059070B" w:rsidRDefault="00E41D4F" w:rsidP="0059070B">
            <w:pPr>
              <w:pStyle w:val="Default"/>
              <w:rPr>
                <w:bCs/>
                <w:sz w:val="16"/>
                <w:szCs w:val="16"/>
              </w:rPr>
            </w:pPr>
            <w:r w:rsidRPr="00E41D4F">
              <w:rPr>
                <w:bCs/>
                <w:sz w:val="16"/>
                <w:szCs w:val="16"/>
              </w:rPr>
              <w:t>«</w:t>
            </w:r>
            <w:r w:rsidR="00BF4C19" w:rsidRPr="00BF4C19">
              <w:rPr>
                <w:bCs/>
                <w:sz w:val="16"/>
                <w:szCs w:val="16"/>
              </w:rPr>
              <w:t xml:space="preserve">Строительство 2КЛ-6 </w:t>
            </w:r>
            <w:proofErr w:type="spellStart"/>
            <w:r w:rsidR="00BF4C19" w:rsidRPr="00BF4C19">
              <w:rPr>
                <w:bCs/>
                <w:sz w:val="16"/>
                <w:szCs w:val="16"/>
              </w:rPr>
              <w:t>кВ</w:t>
            </w:r>
            <w:proofErr w:type="spellEnd"/>
            <w:r w:rsidR="00BF4C19" w:rsidRPr="00BF4C19">
              <w:rPr>
                <w:bCs/>
                <w:sz w:val="16"/>
                <w:szCs w:val="16"/>
              </w:rPr>
              <w:t xml:space="preserve"> фидер ТХ-17 от ПС-500 «Тихорецкая» до КРУН-ТХ-17 г. Тихорецк</w:t>
            </w:r>
            <w:r w:rsidR="0099364B" w:rsidRPr="0099364B">
              <w:rPr>
                <w:bCs/>
                <w:sz w:val="16"/>
                <w:szCs w:val="16"/>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26350F" w:rsidRPr="0026350F" w:rsidRDefault="00BF4C19" w:rsidP="00377495">
            <w:pPr>
              <w:spacing w:before="120"/>
              <w:ind w:firstLine="0"/>
              <w:jc w:val="center"/>
              <w:rPr>
                <w:sz w:val="16"/>
                <w:szCs w:val="16"/>
                <w:lang w:bidi="he-IL"/>
              </w:rPr>
            </w:pPr>
            <w:r>
              <w:rPr>
                <w:sz w:val="16"/>
                <w:szCs w:val="16"/>
                <w:lang w:bidi="he-IL"/>
              </w:rPr>
              <w:t>5 099 956,58</w:t>
            </w:r>
            <w:r w:rsidR="00F4278E">
              <w:rPr>
                <w:sz w:val="16"/>
                <w:szCs w:val="16"/>
                <w:lang w:bidi="he-IL"/>
              </w:rPr>
              <w:t xml:space="preserve"> </w:t>
            </w:r>
            <w:r w:rsidR="00377495">
              <w:rPr>
                <w:sz w:val="16"/>
                <w:szCs w:val="16"/>
                <w:lang w:bidi="he-IL"/>
              </w:rPr>
              <w:t xml:space="preserve">руб.    </w:t>
            </w:r>
            <w:r w:rsidR="00C96FBC">
              <w:rPr>
                <w:sz w:val="16"/>
                <w:szCs w:val="16"/>
                <w:lang w:bidi="he-IL"/>
              </w:rPr>
              <w:t xml:space="preserve"> </w:t>
            </w:r>
            <w:r w:rsidR="0026350F" w:rsidRPr="0026350F">
              <w:rPr>
                <w:sz w:val="16"/>
                <w:szCs w:val="16"/>
                <w:lang w:bidi="he-IL"/>
              </w:rPr>
              <w:t>(с НДС)</w:t>
            </w:r>
          </w:p>
          <w:p w:rsidR="0026350F" w:rsidRPr="0026350F" w:rsidRDefault="00BF4C19" w:rsidP="005A7857">
            <w:pPr>
              <w:ind w:firstLine="0"/>
              <w:jc w:val="center"/>
              <w:rPr>
                <w:sz w:val="16"/>
                <w:szCs w:val="16"/>
                <w:lang w:bidi="he-IL"/>
              </w:rPr>
            </w:pPr>
            <w:r w:rsidRPr="00BF4C19">
              <w:rPr>
                <w:sz w:val="16"/>
                <w:szCs w:val="16"/>
                <w:lang w:bidi="he-IL"/>
              </w:rPr>
              <w:t>4</w:t>
            </w:r>
            <w:r>
              <w:rPr>
                <w:sz w:val="16"/>
                <w:szCs w:val="16"/>
                <w:lang w:bidi="he-IL"/>
              </w:rPr>
              <w:t> </w:t>
            </w:r>
            <w:r w:rsidRPr="00BF4C19">
              <w:rPr>
                <w:sz w:val="16"/>
                <w:szCs w:val="16"/>
                <w:lang w:bidi="he-IL"/>
              </w:rPr>
              <w:t>249</w:t>
            </w:r>
            <w:r>
              <w:rPr>
                <w:sz w:val="16"/>
                <w:szCs w:val="16"/>
                <w:lang w:bidi="he-IL"/>
              </w:rPr>
              <w:t> 963,</w:t>
            </w:r>
            <w:r w:rsidRPr="00BF4C19">
              <w:rPr>
                <w:sz w:val="16"/>
                <w:szCs w:val="16"/>
                <w:lang w:bidi="he-IL"/>
              </w:rPr>
              <w:t>82</w:t>
            </w:r>
            <w:r>
              <w:rPr>
                <w:sz w:val="16"/>
                <w:szCs w:val="16"/>
                <w:lang w:bidi="he-IL"/>
              </w:rPr>
              <w:t xml:space="preserve"> </w:t>
            </w:r>
            <w:r w:rsidR="0026350F" w:rsidRPr="0026350F">
              <w:rPr>
                <w:sz w:val="16"/>
                <w:szCs w:val="16"/>
                <w:lang w:bidi="he-IL"/>
              </w:rPr>
              <w:t xml:space="preserve">руб. </w:t>
            </w:r>
          </w:p>
          <w:p w:rsidR="00D97682" w:rsidRPr="00307D30" w:rsidRDefault="0026350F" w:rsidP="0026350F">
            <w:pPr>
              <w:spacing w:after="120"/>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13433F" w:rsidRDefault="007F19C1" w:rsidP="00BF4C19">
            <w:pPr>
              <w:spacing w:before="120" w:after="120"/>
              <w:ind w:firstLine="0"/>
              <w:jc w:val="center"/>
              <w:rPr>
                <w:sz w:val="16"/>
                <w:szCs w:val="16"/>
                <w:lang w:bidi="he-IL"/>
              </w:rPr>
            </w:pPr>
            <w:r>
              <w:rPr>
                <w:sz w:val="16"/>
                <w:szCs w:val="16"/>
                <w:lang w:bidi="he-IL"/>
              </w:rPr>
              <w:t xml:space="preserve">г. </w:t>
            </w:r>
            <w:r w:rsidR="00BF4C19">
              <w:rPr>
                <w:sz w:val="16"/>
                <w:szCs w:val="16"/>
                <w:lang w:bidi="he-IL"/>
              </w:rPr>
              <w:t>Тихорецк</w:t>
            </w:r>
          </w:p>
        </w:tc>
        <w:tc>
          <w:tcPr>
            <w:tcW w:w="1559" w:type="dxa"/>
            <w:tcBorders>
              <w:top w:val="single" w:sz="6" w:space="0" w:color="auto"/>
              <w:bottom w:val="single" w:sz="6" w:space="0" w:color="auto"/>
            </w:tcBorders>
            <w:shd w:val="clear" w:color="auto" w:fill="auto"/>
            <w:vAlign w:val="center"/>
          </w:tcPr>
          <w:p w:rsidR="004446C9" w:rsidRPr="0026350F" w:rsidRDefault="004446C9" w:rsidP="00734873">
            <w:pPr>
              <w:spacing w:before="120" w:after="120"/>
              <w:ind w:firstLine="0"/>
              <w:jc w:val="center"/>
              <w:rPr>
                <w:sz w:val="16"/>
                <w:szCs w:val="14"/>
                <w:shd w:val="pct10" w:color="auto" w:fill="auto"/>
                <w:lang w:bidi="he-IL"/>
              </w:rPr>
            </w:pPr>
            <w:r w:rsidRPr="0026350F">
              <w:rPr>
                <w:sz w:val="16"/>
                <w:szCs w:val="14"/>
                <w:shd w:val="pct10" w:color="auto" w:fill="auto"/>
                <w:lang w:bidi="he-IL"/>
              </w:rPr>
              <w:t xml:space="preserve">Согласно </w:t>
            </w:r>
            <w:r w:rsidR="00734873">
              <w:rPr>
                <w:sz w:val="16"/>
                <w:szCs w:val="14"/>
                <w:shd w:val="pct10" w:color="auto" w:fill="auto"/>
                <w:lang w:bidi="he-IL"/>
              </w:rPr>
              <w:t>Приложения</w:t>
            </w:r>
            <w:r w:rsidR="00CA417E">
              <w:rPr>
                <w:sz w:val="16"/>
                <w:szCs w:val="14"/>
                <w:shd w:val="pct10" w:color="auto" w:fill="auto"/>
                <w:lang w:bidi="he-IL"/>
              </w:rPr>
              <w:t>м</w:t>
            </w:r>
            <w:r w:rsidR="00734873">
              <w:rPr>
                <w:sz w:val="16"/>
                <w:szCs w:val="14"/>
                <w:shd w:val="pct10" w:color="auto" w:fill="auto"/>
                <w:lang w:bidi="he-IL"/>
              </w:rPr>
              <w:t xml:space="preserve"> 1</w:t>
            </w:r>
            <w:r w:rsidR="00CA417E">
              <w:rPr>
                <w:sz w:val="16"/>
                <w:szCs w:val="14"/>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377495" w:rsidRDefault="004446C9" w:rsidP="00386CB1">
            <w:pPr>
              <w:ind w:firstLine="0"/>
              <w:jc w:val="center"/>
              <w:rPr>
                <w:b/>
                <w:sz w:val="16"/>
                <w:szCs w:val="16"/>
                <w:lang w:bidi="he-IL"/>
              </w:rPr>
            </w:pPr>
            <w:r w:rsidRPr="00377495">
              <w:rPr>
                <w:b/>
                <w:sz w:val="16"/>
                <w:szCs w:val="16"/>
                <w:lang w:bidi="he-IL"/>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CE4586">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4446C9" w:rsidRPr="004E03B6" w:rsidRDefault="00377495" w:rsidP="00386CB1">
            <w:pPr>
              <w:spacing w:before="120" w:after="120"/>
              <w:ind w:firstLine="0"/>
              <w:jc w:val="center"/>
              <w:rPr>
                <w:sz w:val="16"/>
                <w:szCs w:val="16"/>
                <w:lang w:bidi="he-IL"/>
              </w:rPr>
            </w:pPr>
            <w:r w:rsidRPr="00377495">
              <w:rPr>
                <w:sz w:val="16"/>
                <w:szCs w:val="16"/>
                <w:lang w:bidi="he-IL"/>
              </w:rPr>
              <w:t>svejencevags@nesk-elseti.ru</w:t>
            </w:r>
          </w:p>
        </w:tc>
        <w:tc>
          <w:tcPr>
            <w:tcW w:w="708"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vAlign w:val="center"/>
          </w:tcPr>
          <w:p w:rsidR="004446C9" w:rsidRPr="005A7857" w:rsidRDefault="0059070B" w:rsidP="00A07FAE">
            <w:pPr>
              <w:spacing w:before="120" w:after="120"/>
              <w:ind w:firstLine="0"/>
              <w:jc w:val="center"/>
              <w:rPr>
                <w:sz w:val="16"/>
                <w:szCs w:val="16"/>
                <w:lang w:bidi="he-IL"/>
              </w:rPr>
            </w:pPr>
            <w:r w:rsidRPr="0059070B">
              <w:rPr>
                <w:bCs/>
                <w:sz w:val="16"/>
                <w:szCs w:val="16"/>
              </w:rPr>
              <w:t>«</w:t>
            </w:r>
            <w:r w:rsidR="00BF4C19" w:rsidRPr="00BF4C19">
              <w:rPr>
                <w:bCs/>
                <w:sz w:val="16"/>
                <w:szCs w:val="16"/>
              </w:rPr>
              <w:t xml:space="preserve">Строительство 2КЛ-6 </w:t>
            </w:r>
            <w:proofErr w:type="spellStart"/>
            <w:r w:rsidR="00BF4C19" w:rsidRPr="00BF4C19">
              <w:rPr>
                <w:bCs/>
                <w:sz w:val="16"/>
                <w:szCs w:val="16"/>
              </w:rPr>
              <w:t>кВ</w:t>
            </w:r>
            <w:proofErr w:type="spellEnd"/>
            <w:r w:rsidR="00BF4C19" w:rsidRPr="00BF4C19">
              <w:rPr>
                <w:bCs/>
                <w:sz w:val="16"/>
                <w:szCs w:val="16"/>
              </w:rPr>
              <w:t xml:space="preserve"> фидер ТХ-17 от ПС-500 «Тихорецкая» до КРУН-ТХ-17 г. Тихорецк»</w:t>
            </w:r>
          </w:p>
        </w:tc>
        <w:tc>
          <w:tcPr>
            <w:tcW w:w="1134" w:type="dxa"/>
            <w:vAlign w:val="center"/>
          </w:tcPr>
          <w:p w:rsidR="004446C9" w:rsidRPr="005A7857" w:rsidRDefault="004446C9" w:rsidP="00386CB1">
            <w:pPr>
              <w:spacing w:before="120" w:after="120"/>
              <w:ind w:firstLine="0"/>
              <w:jc w:val="center"/>
              <w:rPr>
                <w:sz w:val="16"/>
                <w:szCs w:val="16"/>
                <w:lang w:bidi="he-IL"/>
              </w:rPr>
            </w:pPr>
            <w:r w:rsidRPr="005A7857">
              <w:rPr>
                <w:sz w:val="16"/>
                <w:szCs w:val="16"/>
                <w:lang w:bidi="he-IL"/>
              </w:rPr>
              <w:t>1 объект</w:t>
            </w:r>
          </w:p>
        </w:tc>
        <w:tc>
          <w:tcPr>
            <w:tcW w:w="3402" w:type="dxa"/>
            <w:vAlign w:val="center"/>
          </w:tcPr>
          <w:p w:rsidR="00906D5D" w:rsidRPr="0026350F" w:rsidRDefault="00BF4C19" w:rsidP="00906D5D">
            <w:pPr>
              <w:spacing w:before="120"/>
              <w:ind w:firstLine="0"/>
              <w:jc w:val="center"/>
              <w:rPr>
                <w:sz w:val="16"/>
                <w:szCs w:val="16"/>
                <w:lang w:bidi="he-IL"/>
              </w:rPr>
            </w:pPr>
            <w:r>
              <w:rPr>
                <w:sz w:val="16"/>
                <w:szCs w:val="16"/>
                <w:lang w:bidi="he-IL"/>
              </w:rPr>
              <w:t xml:space="preserve">5 099 956,58 </w:t>
            </w:r>
            <w:r w:rsidR="00906D5D">
              <w:rPr>
                <w:sz w:val="16"/>
                <w:szCs w:val="16"/>
                <w:lang w:bidi="he-IL"/>
              </w:rPr>
              <w:t xml:space="preserve">руб. </w:t>
            </w:r>
            <w:r w:rsidR="00906D5D" w:rsidRPr="0026350F">
              <w:rPr>
                <w:sz w:val="16"/>
                <w:szCs w:val="16"/>
                <w:lang w:bidi="he-IL"/>
              </w:rPr>
              <w:t>(с НДС)</w:t>
            </w:r>
          </w:p>
          <w:p w:rsidR="00D97682" w:rsidRPr="005A7857" w:rsidRDefault="00BF4C19" w:rsidP="00CA417E">
            <w:pPr>
              <w:ind w:firstLine="0"/>
              <w:jc w:val="center"/>
              <w:rPr>
                <w:sz w:val="14"/>
                <w:szCs w:val="14"/>
                <w:shd w:val="pct10" w:color="auto" w:fill="auto"/>
                <w:lang w:bidi="he-IL"/>
              </w:rPr>
            </w:pPr>
            <w:r w:rsidRPr="00BF4C19">
              <w:rPr>
                <w:sz w:val="16"/>
                <w:szCs w:val="16"/>
                <w:lang w:bidi="he-IL"/>
              </w:rPr>
              <w:t>4</w:t>
            </w:r>
            <w:r>
              <w:rPr>
                <w:sz w:val="16"/>
                <w:szCs w:val="16"/>
                <w:lang w:bidi="he-IL"/>
              </w:rPr>
              <w:t> </w:t>
            </w:r>
            <w:r w:rsidRPr="00BF4C19">
              <w:rPr>
                <w:sz w:val="16"/>
                <w:szCs w:val="16"/>
                <w:lang w:bidi="he-IL"/>
              </w:rPr>
              <w:t>249</w:t>
            </w:r>
            <w:r>
              <w:rPr>
                <w:sz w:val="16"/>
                <w:szCs w:val="16"/>
                <w:lang w:bidi="he-IL"/>
              </w:rPr>
              <w:t> 963,</w:t>
            </w:r>
            <w:r w:rsidRPr="00BF4C19">
              <w:rPr>
                <w:sz w:val="16"/>
                <w:szCs w:val="16"/>
                <w:lang w:bidi="he-IL"/>
              </w:rPr>
              <w:t>82</w:t>
            </w:r>
            <w:r>
              <w:rPr>
                <w:sz w:val="16"/>
                <w:szCs w:val="16"/>
                <w:lang w:bidi="he-IL"/>
              </w:rPr>
              <w:t xml:space="preserve"> </w:t>
            </w:r>
            <w:r w:rsidR="00906D5D" w:rsidRPr="0026350F">
              <w:rPr>
                <w:sz w:val="16"/>
                <w:szCs w:val="16"/>
                <w:lang w:bidi="he-IL"/>
              </w:rPr>
              <w:t xml:space="preserve"> 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0"/>
          <w:headerReference w:type="default" r:id="rId31"/>
          <w:footerReference w:type="default" r:id="rId32"/>
          <w:headerReference w:type="first" r:id="rId3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F06045"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9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F06045" w:rsidP="00E31053">
                  <w:pPr>
                    <w:ind w:firstLine="0"/>
                    <w:rPr>
                      <w:sz w:val="22"/>
                      <w:szCs w:val="22"/>
                    </w:rPr>
                  </w:pPr>
                  <w:r>
                    <w:rPr>
                      <w:sz w:val="22"/>
                      <w:szCs w:val="22"/>
                    </w:rPr>
                    <w:pict>
                      <v:shape id="_x0000_i1026" type="#_x0000_t75" style="width:13.6pt;height:19pt">
                        <v:imagedata r:id="rId35"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F06045" w:rsidP="00E31053">
                  <w:pPr>
                    <w:ind w:firstLine="0"/>
                    <w:rPr>
                      <w:sz w:val="22"/>
                      <w:szCs w:val="22"/>
                    </w:rPr>
                  </w:pPr>
                  <w:r>
                    <w:rPr>
                      <w:sz w:val="22"/>
                      <w:szCs w:val="22"/>
                    </w:rPr>
                    <w:pict>
                      <v:shape id="_x0000_i1027"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F06045" w:rsidP="00E31053">
                  <w:pPr>
                    <w:ind w:firstLine="0"/>
                    <w:rPr>
                      <w:sz w:val="22"/>
                      <w:szCs w:val="22"/>
                    </w:rPr>
                  </w:pPr>
                  <w:r>
                    <w:rPr>
                      <w:sz w:val="22"/>
                      <w:szCs w:val="22"/>
                    </w:rPr>
                    <w:pict>
                      <v:shape id="_x0000_i1028"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F06045" w:rsidP="00E31053">
                  <w:pPr>
                    <w:ind w:firstLine="0"/>
                    <w:rPr>
                      <w:sz w:val="22"/>
                      <w:szCs w:val="22"/>
                    </w:rPr>
                  </w:pPr>
                  <w:r>
                    <w:rPr>
                      <w:sz w:val="22"/>
                      <w:szCs w:val="22"/>
                    </w:rPr>
                    <w:pict>
                      <v:shape id="_x0000_i1029" type="#_x0000_t75" style="width:13.6pt;height:19pt">
                        <v:imagedata r:id="rId34"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6"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313F81" w:rsidP="002942A8">
                                    <w:pPr>
                                      <w:pStyle w:val="af1"/>
                                      <w:spacing w:before="0" w:after="0"/>
                                      <w:ind w:left="96"/>
                                      <w:jc w:val="both"/>
                                      <w:rPr>
                                        <w:sz w:val="22"/>
                                        <w:szCs w:val="22"/>
                                        <w:lang w:bidi="he-IL"/>
                                      </w:rPr>
                                    </w:pPr>
                                    <w:r w:rsidRPr="003936A4">
                                      <w:rPr>
                                        <w:sz w:val="22"/>
                                        <w:szCs w:val="22"/>
                                        <w:lang w:bidi="he-IL"/>
                                      </w:rPr>
                                      <w:t xml:space="preserve">Наличие действующих разрешительных </w:t>
                                    </w:r>
                                    <w:proofErr w:type="gramStart"/>
                                    <w:r w:rsidRPr="003936A4">
                                      <w:rPr>
                                        <w:sz w:val="22"/>
                                        <w:szCs w:val="22"/>
                                        <w:lang w:bidi="he-IL"/>
                                      </w:rPr>
                                      <w:t>документов</w:t>
                                    </w:r>
                                    <w:proofErr w:type="gramEnd"/>
                                    <w:r w:rsidR="001709C8" w:rsidRPr="003936A4">
                                      <w:rPr>
                                        <w:sz w:val="22"/>
                                        <w:szCs w:val="22"/>
                                        <w:lang w:bidi="he-IL"/>
                                      </w:rPr>
                                      <w:t xml:space="preserve"> на выполнение </w:t>
                                    </w:r>
                                    <w:r w:rsidR="006A090D" w:rsidRPr="003936A4">
                                      <w:rPr>
                                        <w:sz w:val="22"/>
                                        <w:szCs w:val="22"/>
                                        <w:lang w:bidi="he-IL"/>
                                      </w:rPr>
                                      <w:t xml:space="preserve">строительно-монтажных </w:t>
                                    </w:r>
                                    <w:r w:rsidR="00BE5F39" w:rsidRPr="003936A4">
                                      <w:rPr>
                                        <w:sz w:val="22"/>
                                        <w:szCs w:val="22"/>
                                        <w:lang w:bidi="he-IL"/>
                                      </w:rPr>
                                      <w:t>работ</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009C5E3D">
                                      <w:rPr>
                                        <w:sz w:val="22"/>
                                        <w:szCs w:val="22"/>
                                        <w:lang w:bidi="he-IL"/>
                                      </w:rPr>
                                      <w:t>(п</w:t>
                                    </w:r>
                                    <w:r w:rsidR="006A090D" w:rsidRPr="003936A4">
                                      <w:rPr>
                                        <w:sz w:val="22"/>
                                        <w:szCs w:val="22"/>
                                        <w:lang w:bidi="he-IL"/>
                                      </w:rPr>
                                      <w:t xml:space="preserve">ри </w:t>
                                    </w:r>
                                    <w:r w:rsidR="009C5E3D">
                                      <w:rPr>
                                        <w:sz w:val="22"/>
                                        <w:szCs w:val="22"/>
                                        <w:lang w:bidi="he-IL"/>
                                      </w:rPr>
                                      <w:t>НМЦ</w:t>
                                    </w:r>
                                    <w:r w:rsidR="006A090D" w:rsidRPr="003936A4">
                                      <w:rPr>
                                        <w:sz w:val="22"/>
                                        <w:szCs w:val="22"/>
                                        <w:lang w:bidi="he-IL"/>
                                      </w:rPr>
                                      <w:t xml:space="preserve"> </w:t>
                                    </w:r>
                                    <w:r w:rsidR="009C5E3D">
                                      <w:rPr>
                                        <w:sz w:val="22"/>
                                        <w:szCs w:val="22"/>
                                        <w:lang w:bidi="he-IL"/>
                                      </w:rPr>
                                      <w:t>свыше</w:t>
                                    </w:r>
                                    <w:r w:rsidR="006A090D" w:rsidRPr="003936A4">
                                      <w:rPr>
                                        <w:sz w:val="22"/>
                                        <w:szCs w:val="22"/>
                                        <w:lang w:bidi="he-IL"/>
                                      </w:rPr>
                                      <w:t xml:space="preserve"> </w:t>
                                    </w:r>
                                    <w:r w:rsidR="002942A8">
                                      <w:rPr>
                                        <w:sz w:val="22"/>
                                        <w:szCs w:val="22"/>
                                        <w:lang w:bidi="he-IL"/>
                                      </w:rPr>
                                      <w:t>10</w:t>
                                    </w:r>
                                    <w:r w:rsidR="006A090D" w:rsidRPr="003936A4">
                                      <w:rPr>
                                        <w:sz w:val="22"/>
                                        <w:szCs w:val="22"/>
                                        <w:lang w:bidi="he-IL"/>
                                      </w:rPr>
                                      <w:t xml:space="preserve"> млн. руб.</w:t>
                                    </w:r>
                                    <w:r w:rsidR="009C5E3D">
                                      <w:rPr>
                                        <w:sz w:val="22"/>
                                        <w:szCs w:val="22"/>
                                        <w:lang w:bidi="he-IL"/>
                                      </w:rPr>
                                      <w:t>)</w:t>
                                    </w:r>
                                    <w:r w:rsidR="00E7430F">
                                      <w:rPr>
                                        <w:sz w:val="22"/>
                                        <w:szCs w:val="22"/>
                                        <w:lang w:bidi="he-IL"/>
                                      </w:rPr>
                                      <w:t>, согласно уровня ответственности от суммы заключаемого договора.</w:t>
                                    </w:r>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 xml:space="preserve">Наличие опыта выполнения работ в качестве генподрядчика по предмету закупки </w:t>
                                    </w:r>
                                    <w:r w:rsidRPr="00E12C83">
                                      <w:rPr>
                                        <w:color w:val="000000"/>
                                        <w:sz w:val="22"/>
                                        <w:lang w:bidi="he-IL"/>
                                      </w:rPr>
                                      <w:lastRenderedPageBreak/>
                                      <w:t>(при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B307E3" w:rsidP="009B1A44">
                                    <w:pPr>
                                      <w:pStyle w:val="af1"/>
                                      <w:spacing w:before="0" w:after="0"/>
                                      <w:ind w:left="96"/>
                                      <w:jc w:val="both"/>
                                      <w:rPr>
                                        <w:i/>
                                        <w:sz w:val="22"/>
                                        <w:szCs w:val="22"/>
                                        <w:shd w:val="pct10" w:color="auto" w:fill="auto"/>
                                        <w:lang w:bidi="he-IL"/>
                                      </w:rPr>
                                    </w:pPr>
                                    <w:r w:rsidRPr="00E12C83">
                                      <w:rPr>
                                        <w:sz w:val="22"/>
                                        <w:lang w:bidi="he-IL"/>
                                      </w:rPr>
                                      <w:lastRenderedPageBreak/>
                                      <w:t>Форма-</w:t>
                                    </w:r>
                                    <w:r w:rsidR="009B1A44">
                                      <w:rPr>
                                        <w:sz w:val="22"/>
                                        <w:lang w:bidi="he-IL"/>
                                      </w:rPr>
                                      <w:t>9</w:t>
                                    </w:r>
                                    <w:r w:rsidRPr="00E12C83">
                                      <w:rPr>
                                        <w:sz w:val="22"/>
                                        <w:lang w:bidi="he-IL"/>
                                      </w:rPr>
                                      <w:t xml:space="preserve"> Сведения об опыте выполнения аналогичных 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F06045" w:rsidP="00B96659">
                  <w:pPr>
                    <w:ind w:firstLine="0"/>
                    <w:rPr>
                      <w:sz w:val="22"/>
                      <w:szCs w:val="22"/>
                    </w:rPr>
                  </w:pPr>
                  <w:r>
                    <w:rPr>
                      <w:sz w:val="22"/>
                      <w:szCs w:val="22"/>
                    </w:rPr>
                    <w:pict>
                      <v:shape id="_x0000_i1030" type="#_x0000_t75" style="width:13.6pt;height:19pt">
                        <v:imagedata r:id="rId35"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1A75DE" w:rsidP="007F19C1">
                  <w:pPr>
                    <w:pStyle w:val="af1"/>
                    <w:spacing w:before="0" w:after="0"/>
                    <w:ind w:left="0" w:right="582"/>
                    <w:jc w:val="both"/>
                    <w:rPr>
                      <w:sz w:val="22"/>
                      <w:szCs w:val="22"/>
                    </w:rPr>
                  </w:pPr>
                  <w:r w:rsidRPr="003936A4">
                    <w:rPr>
                      <w:sz w:val="22"/>
                      <w:szCs w:val="22"/>
                    </w:rPr>
                    <w:t xml:space="preserve">- 100% от стоимости работ оплачиваются Заказчиком в течение </w:t>
                  </w:r>
                  <w:r w:rsidR="007F19C1">
                    <w:rPr>
                      <w:sz w:val="22"/>
                      <w:szCs w:val="22"/>
                    </w:rPr>
                    <w:t>7</w:t>
                  </w:r>
                  <w:r w:rsidRPr="003936A4">
                    <w:rPr>
                      <w:sz w:val="22"/>
                      <w:szCs w:val="22"/>
                    </w:rPr>
                    <w:t xml:space="preserve"> рабочих дней с момента подписания Сторонами без замечаний </w:t>
                  </w:r>
                  <w:r>
                    <w:rPr>
                      <w:sz w:val="22"/>
                      <w:szCs w:val="22"/>
                    </w:rPr>
                    <w:t>а</w:t>
                  </w:r>
                  <w:r w:rsidRPr="003936A4">
                    <w:rPr>
                      <w:sz w:val="22"/>
                      <w:szCs w:val="22"/>
                    </w:rPr>
                    <w:t xml:space="preserve">кта приемки </w:t>
                  </w:r>
                  <w:r>
                    <w:rPr>
                      <w:sz w:val="22"/>
                      <w:szCs w:val="22"/>
                    </w:rPr>
                    <w:t>законченного строительством объекта приемочной комиссией (унифицированная форма КС-14)</w:t>
                  </w:r>
                  <w:r w:rsidRPr="003936A4">
                    <w:rPr>
                      <w:sz w:val="22"/>
                      <w:szCs w:val="22"/>
                    </w:rPr>
                    <w:t>.</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F06045" w:rsidP="000F5CBC">
                  <w:pPr>
                    <w:ind w:firstLine="0"/>
                    <w:rPr>
                      <w:sz w:val="22"/>
                      <w:szCs w:val="22"/>
                    </w:rPr>
                  </w:pPr>
                  <w:r>
                    <w:rPr>
                      <w:sz w:val="22"/>
                      <w:szCs w:val="22"/>
                    </w:rPr>
                    <w:pict>
                      <v:shape id="_x0000_i1031" type="#_x0000_t75" style="width:13.6pt;height:19pt">
                        <v:imagedata r:id="rId35"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F06045" w:rsidP="000F5CBC">
                  <w:pPr>
                    <w:ind w:firstLine="0"/>
                    <w:rPr>
                      <w:sz w:val="22"/>
                      <w:szCs w:val="22"/>
                    </w:rPr>
                  </w:pPr>
                  <w:r>
                    <w:rPr>
                      <w:sz w:val="22"/>
                      <w:szCs w:val="22"/>
                    </w:rPr>
                    <w:pict>
                      <v:shape id="_x0000_i1032" type="#_x0000_t75" style="width:13.6pt;height:19pt">
                        <v:imagedata r:id="rId34"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F06045" w:rsidP="00CF6594">
                  <w:pPr>
                    <w:ind w:firstLine="0"/>
                    <w:rPr>
                      <w:sz w:val="22"/>
                      <w:szCs w:val="22"/>
                    </w:rPr>
                  </w:pPr>
                  <w:r>
                    <w:rPr>
                      <w:sz w:val="22"/>
                      <w:szCs w:val="22"/>
                    </w:rPr>
                    <w:pict>
                      <v:shape id="_x0000_i1033" type="#_x0000_t75" style="width:13.6pt;height:19pt">
                        <v:imagedata r:id="rId35"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F06045" w:rsidP="00CF6594">
                  <w:pPr>
                    <w:ind w:firstLine="0"/>
                    <w:rPr>
                      <w:sz w:val="22"/>
                      <w:szCs w:val="22"/>
                    </w:rPr>
                  </w:pPr>
                  <w:r>
                    <w:rPr>
                      <w:sz w:val="22"/>
                      <w:szCs w:val="22"/>
                    </w:rPr>
                    <w:pict>
                      <v:shape id="_x0000_i1034" type="#_x0000_t75" style="width:13.6pt;height:19pt">
                        <v:imagedata r:id="rId34"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F06045" w:rsidP="001978ED">
                  <w:pPr>
                    <w:ind w:firstLine="0"/>
                    <w:rPr>
                      <w:sz w:val="22"/>
                      <w:szCs w:val="22"/>
                    </w:rPr>
                  </w:pPr>
                  <w:r>
                    <w:rPr>
                      <w:sz w:val="22"/>
                      <w:szCs w:val="22"/>
                    </w:rPr>
                    <w:pict>
                      <v:shape id="_x0000_i1035" type="#_x0000_t75" style="width:13.6pt;height:19pt">
                        <v:imagedata r:id="rId35"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F06045" w:rsidP="001978ED">
                  <w:pPr>
                    <w:ind w:firstLine="0"/>
                    <w:rPr>
                      <w:sz w:val="22"/>
                      <w:szCs w:val="22"/>
                    </w:rPr>
                  </w:pPr>
                  <w:r>
                    <w:rPr>
                      <w:sz w:val="22"/>
                      <w:szCs w:val="22"/>
                    </w:rPr>
                    <w:pict>
                      <v:shape id="_x0000_i1036" type="#_x0000_t75" style="width:13.6pt;height:19pt">
                        <v:imagedata r:id="rId34"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20903DF3" wp14:editId="58A5585C">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A3BAD64" wp14:editId="3E77CBB7">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14CF0506" wp14:editId="65006CFA">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F06045">
                    <w:rPr>
                      <w:sz w:val="22"/>
                      <w:szCs w:val="22"/>
                    </w:rPr>
                    <w:pict>
                      <v:shape id="_x0000_i1037"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F06045">
                    <w:rPr>
                      <w:sz w:val="22"/>
                      <w:szCs w:val="22"/>
                    </w:rPr>
                    <w:pict>
                      <v:shape id="_x0000_i1038"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F06045">
                    <w:rPr>
                      <w:sz w:val="22"/>
                      <w:szCs w:val="22"/>
                    </w:rPr>
                    <w:pict>
                      <v:shape id="_x0000_i1039"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F06045" w:rsidP="00CF440D">
                  <w:pPr>
                    <w:ind w:firstLine="0"/>
                    <w:rPr>
                      <w:sz w:val="22"/>
                      <w:szCs w:val="22"/>
                    </w:rPr>
                  </w:pPr>
                  <w:r>
                    <w:rPr>
                      <w:sz w:val="22"/>
                      <w:szCs w:val="22"/>
                    </w:rPr>
                    <w:pict>
                      <v:shape id="_x0000_i1040" type="#_x0000_t75" style="width:13.6pt;height:19pt">
                        <v:imagedata r:id="rId34"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F06045" w:rsidP="00CF440D">
                  <w:pPr>
                    <w:ind w:firstLine="0"/>
                    <w:rPr>
                      <w:sz w:val="22"/>
                      <w:szCs w:val="22"/>
                    </w:rPr>
                  </w:pPr>
                  <w:r>
                    <w:rPr>
                      <w:sz w:val="22"/>
                      <w:szCs w:val="22"/>
                    </w:rPr>
                    <w:pict>
                      <v:shape id="_x0000_i1041" type="#_x0000_t75" style="width:13.6pt;height:19pt">
                        <v:imagedata r:id="rId34"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w:t>
                  </w:r>
                  <w:r w:rsidRPr="003936A4">
                    <w:rPr>
                      <w:sz w:val="22"/>
                      <w:szCs w:val="22"/>
                    </w:rPr>
                    <w:lastRenderedPageBreak/>
                    <w:t xml:space="preserve">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F06045" w:rsidP="00255A36">
                  <w:pPr>
                    <w:spacing w:before="60" w:after="60"/>
                    <w:ind w:firstLine="0"/>
                    <w:rPr>
                      <w:sz w:val="22"/>
                      <w:szCs w:val="22"/>
                    </w:rPr>
                  </w:pPr>
                  <w:r>
                    <w:rPr>
                      <w:sz w:val="22"/>
                      <w:szCs w:val="22"/>
                    </w:rPr>
                    <w:pict>
                      <v:shape id="_x0000_i1042"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F06045" w:rsidP="00255A36">
                  <w:pPr>
                    <w:tabs>
                      <w:tab w:val="clear" w:pos="1134"/>
                    </w:tabs>
                    <w:kinsoku/>
                    <w:overflowPunct/>
                    <w:autoSpaceDE/>
                    <w:autoSpaceDN/>
                    <w:ind w:firstLine="0"/>
                    <w:jc w:val="left"/>
                    <w:rPr>
                      <w:sz w:val="22"/>
                      <w:szCs w:val="22"/>
                    </w:rPr>
                  </w:pPr>
                  <w:r>
                    <w:rPr>
                      <w:sz w:val="22"/>
                      <w:szCs w:val="22"/>
                    </w:rPr>
                    <w:pict>
                      <v:shape id="_x0000_i1043"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F06045" w:rsidP="00255A36">
                  <w:pPr>
                    <w:tabs>
                      <w:tab w:val="clear" w:pos="1134"/>
                    </w:tabs>
                    <w:kinsoku/>
                    <w:overflowPunct/>
                    <w:autoSpaceDE/>
                    <w:autoSpaceDN/>
                    <w:ind w:firstLine="0"/>
                    <w:jc w:val="left"/>
                    <w:rPr>
                      <w:sz w:val="22"/>
                      <w:szCs w:val="22"/>
                    </w:rPr>
                  </w:pPr>
                  <w:r>
                    <w:rPr>
                      <w:sz w:val="22"/>
                      <w:szCs w:val="22"/>
                    </w:rPr>
                    <w:pict>
                      <v:shape id="_x0000_i1044"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C619CB1" wp14:editId="27C52564">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F06045" w:rsidP="00255A36">
                  <w:pPr>
                    <w:tabs>
                      <w:tab w:val="clear" w:pos="1134"/>
                    </w:tabs>
                    <w:kinsoku/>
                    <w:overflowPunct/>
                    <w:autoSpaceDE/>
                    <w:autoSpaceDN/>
                    <w:ind w:firstLine="0"/>
                    <w:jc w:val="left"/>
                    <w:rPr>
                      <w:noProof/>
                      <w:sz w:val="22"/>
                      <w:szCs w:val="22"/>
                    </w:rPr>
                  </w:pPr>
                  <w:r>
                    <w:rPr>
                      <w:sz w:val="22"/>
                      <w:szCs w:val="22"/>
                    </w:rPr>
                    <w:pict>
                      <v:shape id="_x0000_i1045" type="#_x0000_t75" style="width:12.9pt;height:19pt">
                        <v:imagedata r:id="rId41"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F06045" w:rsidP="00255A36">
                  <w:pPr>
                    <w:tabs>
                      <w:tab w:val="clear" w:pos="1134"/>
                    </w:tabs>
                    <w:kinsoku/>
                    <w:overflowPunct/>
                    <w:autoSpaceDE/>
                    <w:autoSpaceDN/>
                    <w:ind w:firstLine="0"/>
                    <w:jc w:val="left"/>
                    <w:rPr>
                      <w:sz w:val="22"/>
                      <w:szCs w:val="22"/>
                    </w:rPr>
                  </w:pPr>
                  <w:r>
                    <w:rPr>
                      <w:sz w:val="22"/>
                      <w:szCs w:val="22"/>
                    </w:rPr>
                    <w:pict>
                      <v:shape id="_x0000_i1046" type="#_x0000_t75" style="width:12.9pt;height:19pt">
                        <v:imagedata r:id="rId41"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138472B" wp14:editId="770F0E4A">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F06045" w:rsidP="00255A36">
                  <w:pPr>
                    <w:pStyle w:val="af1"/>
                    <w:spacing w:before="0" w:after="0"/>
                    <w:ind w:left="0"/>
                    <w:jc w:val="both"/>
                    <w:rPr>
                      <w:sz w:val="22"/>
                      <w:szCs w:val="22"/>
                    </w:rPr>
                  </w:pPr>
                  <w:r>
                    <w:rPr>
                      <w:sz w:val="22"/>
                      <w:szCs w:val="22"/>
                    </w:rPr>
                    <w:pict>
                      <v:shape id="_x0000_i1047" type="#_x0000_t75" style="width:12.9pt;height:19pt">
                        <v:imagedata r:id="rId41"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0D7C5B" w:rsidRPr="003936A4" w:rsidRDefault="000D7C5B" w:rsidP="00EF5947">
                  <w:pPr>
                    <w:pStyle w:val="af1"/>
                    <w:spacing w:before="0" w:after="0"/>
                    <w:ind w:left="0"/>
                    <w:jc w:val="both"/>
                    <w:rPr>
                      <w:sz w:val="22"/>
                      <w:szCs w:val="22"/>
                    </w:rPr>
                  </w:pPr>
                </w:p>
              </w:tc>
            </w:tr>
            <w:tr w:rsidR="000D7C5B" w:rsidRPr="003936A4" w:rsidTr="00DF5915">
              <w:tc>
                <w:tcPr>
                  <w:tcW w:w="528" w:type="dxa"/>
                  <w:vAlign w:val="center"/>
                </w:tcPr>
                <w:p w:rsidR="000D7C5B" w:rsidRPr="003936A4" w:rsidRDefault="00F06045" w:rsidP="00C16DE5">
                  <w:pPr>
                    <w:pStyle w:val="af1"/>
                    <w:spacing w:before="0" w:after="0"/>
                    <w:ind w:left="0"/>
                    <w:jc w:val="both"/>
                    <w:rPr>
                      <w:sz w:val="22"/>
                      <w:szCs w:val="22"/>
                    </w:rPr>
                  </w:pPr>
                  <w:r>
                    <w:rPr>
                      <w:sz w:val="22"/>
                      <w:szCs w:val="22"/>
                    </w:rPr>
                    <w:pict w14:anchorId="304CDBE1">
                      <v:shape id="_x0000_i1048" type="#_x0000_t75" style="width:12.9pt;height:19pt">
                        <v:imagedata r:id="rId41" o:title=""/>
                      </v:shape>
                    </w:pict>
                  </w:r>
                </w:p>
              </w:tc>
              <w:tc>
                <w:tcPr>
                  <w:tcW w:w="8059" w:type="dxa"/>
                </w:tcPr>
                <w:p w:rsidR="000D7C5B" w:rsidRPr="000D7C5B" w:rsidRDefault="000D7C5B"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0D7C5B">
                    <w:rPr>
                      <w:sz w:val="22"/>
                      <w:szCs w:val="24"/>
                    </w:rPr>
                    <w:t>При проведении закупки, в случае если цена, указанная в заявке участника закупки ниже более</w:t>
                  </w:r>
                  <w:proofErr w:type="gramStart"/>
                  <w:r w:rsidRPr="000D7C5B">
                    <w:rPr>
                      <w:sz w:val="22"/>
                      <w:szCs w:val="24"/>
                    </w:rPr>
                    <w:t>,</w:t>
                  </w:r>
                  <w:proofErr w:type="gramEnd"/>
                  <w:r w:rsidRPr="000D7C5B">
                    <w:rPr>
                      <w:sz w:val="22"/>
                      <w:szCs w:val="24"/>
                    </w:rP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w:t>
                  </w:r>
                  <w:r w:rsidRPr="000D7C5B">
                    <w:rPr>
                      <w:sz w:val="22"/>
                      <w:szCs w:val="24"/>
                    </w:rPr>
                    <w:lastRenderedPageBreak/>
                    <w:t>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F06045"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lastRenderedPageBreak/>
              <w:t>где</w:t>
            </w:r>
          </w:p>
          <w:p w:rsidR="005E580D" w:rsidRPr="005E580D" w:rsidRDefault="00F06045"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F06045"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17A42CA3" wp14:editId="10513785">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F06045"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F06045"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F06045"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Комиссия присваивает каждой заявке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F06045" w:rsidP="001836A1">
                  <w:pPr>
                    <w:ind w:firstLine="0"/>
                    <w:rPr>
                      <w:sz w:val="22"/>
                      <w:szCs w:val="22"/>
                    </w:rPr>
                  </w:pPr>
                  <w:r>
                    <w:rPr>
                      <w:sz w:val="22"/>
                      <w:szCs w:val="22"/>
                    </w:rPr>
                    <w:pict>
                      <v:shape id="_x0000_i1049" type="#_x0000_t75" style="width:13.6pt;height:19pt">
                        <v:imagedata r:id="rId35"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F06045" w:rsidP="001836A1">
                  <w:pPr>
                    <w:ind w:firstLine="0"/>
                    <w:rPr>
                      <w:sz w:val="22"/>
                      <w:szCs w:val="22"/>
                    </w:rPr>
                  </w:pPr>
                  <w:r>
                    <w:rPr>
                      <w:sz w:val="22"/>
                      <w:szCs w:val="22"/>
                    </w:rPr>
                    <w:pict>
                      <v:shape id="_x0000_i1050" type="#_x0000_t75" style="width:13.6pt;height:19pt">
                        <v:imagedata r:id="rId34"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F06045" w:rsidP="001836A1">
                  <w:pPr>
                    <w:ind w:firstLine="0"/>
                    <w:rPr>
                      <w:sz w:val="22"/>
                      <w:szCs w:val="22"/>
                    </w:rPr>
                  </w:pPr>
                  <w:r>
                    <w:rPr>
                      <w:sz w:val="22"/>
                      <w:szCs w:val="22"/>
                    </w:rPr>
                    <w:pict>
                      <v:shape id="_x0000_i1051" type="#_x0000_t75" style="width:12.9pt;height:19pt">
                        <v:imagedata r:id="rId40"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F06045" w:rsidP="001836A1">
                  <w:pPr>
                    <w:ind w:firstLine="0"/>
                    <w:rPr>
                      <w:sz w:val="22"/>
                      <w:szCs w:val="22"/>
                    </w:rPr>
                  </w:pPr>
                  <w:r>
                    <w:rPr>
                      <w:sz w:val="22"/>
                      <w:szCs w:val="22"/>
                    </w:rPr>
                    <w:lastRenderedPageBreak/>
                    <w:pict>
                      <v:shape id="_x0000_i1052"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F06045" w:rsidP="001836A1">
                  <w:pPr>
                    <w:ind w:firstLine="0"/>
                    <w:rPr>
                      <w:sz w:val="22"/>
                      <w:szCs w:val="22"/>
                    </w:rPr>
                  </w:pPr>
                  <w:r>
                    <w:rPr>
                      <w:sz w:val="22"/>
                      <w:szCs w:val="22"/>
                    </w:rPr>
                    <w:pict>
                      <v:shape id="_x0000_i1053"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F06045" w:rsidP="00A152CB">
                  <w:pPr>
                    <w:pStyle w:val="af1"/>
                    <w:spacing w:before="0" w:after="0"/>
                    <w:ind w:left="0" w:right="0"/>
                    <w:jc w:val="both"/>
                    <w:rPr>
                      <w:sz w:val="22"/>
                      <w:szCs w:val="22"/>
                      <w:lang w:val="en-US"/>
                    </w:rPr>
                  </w:pPr>
                  <w:r>
                    <w:rPr>
                      <w:sz w:val="22"/>
                      <w:szCs w:val="22"/>
                    </w:rPr>
                    <w:pict>
                      <v:shape id="_x0000_i1054" type="#_x0000_t75" style="width:9.5pt;height:14.95pt">
                        <v:imagedata r:id="rId44"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F06045" w:rsidP="00E55072">
                  <w:pPr>
                    <w:ind w:firstLine="0"/>
                    <w:rPr>
                      <w:sz w:val="22"/>
                      <w:szCs w:val="22"/>
                    </w:rPr>
                  </w:pPr>
                  <w:r>
                    <w:rPr>
                      <w:sz w:val="22"/>
                      <w:szCs w:val="22"/>
                    </w:rPr>
                    <w:pict>
                      <v:shape id="_x0000_i1055" type="#_x0000_t75" style="width:13.6pt;height:19pt">
                        <v:imagedata r:id="rId34"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F06045" w:rsidP="00E55072">
                  <w:pPr>
                    <w:ind w:firstLine="0"/>
                    <w:rPr>
                      <w:sz w:val="22"/>
                      <w:szCs w:val="22"/>
                    </w:rPr>
                  </w:pPr>
                  <w:r>
                    <w:rPr>
                      <w:sz w:val="22"/>
                      <w:szCs w:val="22"/>
                    </w:rPr>
                    <w:pict>
                      <v:shape id="_x0000_i1056"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F06045" w:rsidP="00E55072">
                  <w:pPr>
                    <w:ind w:firstLine="0"/>
                    <w:rPr>
                      <w:sz w:val="22"/>
                      <w:szCs w:val="22"/>
                    </w:rPr>
                  </w:pPr>
                  <w:r>
                    <w:rPr>
                      <w:sz w:val="22"/>
                      <w:szCs w:val="22"/>
                    </w:rPr>
                    <w:pict>
                      <v:shape id="_x0000_i1057" type="#_x0000_t75" style="width:13.6pt;height:19pt">
                        <v:imagedata r:id="rId35"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F06045" w:rsidP="00E55072">
                  <w:pPr>
                    <w:ind w:firstLine="0"/>
                    <w:rPr>
                      <w:sz w:val="22"/>
                      <w:szCs w:val="22"/>
                    </w:rPr>
                  </w:pPr>
                  <w:r>
                    <w:rPr>
                      <w:sz w:val="22"/>
                      <w:szCs w:val="22"/>
                    </w:rPr>
                    <w:pict>
                      <v:shape id="_x0000_i1058"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F06045" w:rsidP="00310AE4">
                  <w:pPr>
                    <w:ind w:firstLine="0"/>
                    <w:rPr>
                      <w:sz w:val="22"/>
                      <w:szCs w:val="22"/>
                    </w:rPr>
                  </w:pPr>
                  <w:r>
                    <w:rPr>
                      <w:sz w:val="22"/>
                      <w:szCs w:val="22"/>
                    </w:rPr>
                    <w:pict>
                      <v:shape id="_x0000_i1059"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F06045" w:rsidP="00310AE4">
                  <w:pPr>
                    <w:ind w:firstLine="0"/>
                    <w:rPr>
                      <w:sz w:val="22"/>
                      <w:szCs w:val="22"/>
                    </w:rPr>
                  </w:pPr>
                  <w:r>
                    <w:rPr>
                      <w:sz w:val="22"/>
                      <w:szCs w:val="22"/>
                    </w:rPr>
                    <w:pict>
                      <v:shape id="_x0000_i1060" type="#_x0000_t75" style="width:13.6pt;height:19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F06045" w:rsidP="00310AE4">
                  <w:pPr>
                    <w:ind w:firstLine="0"/>
                    <w:rPr>
                      <w:sz w:val="22"/>
                      <w:szCs w:val="22"/>
                    </w:rPr>
                  </w:pPr>
                  <w:r>
                    <w:rPr>
                      <w:sz w:val="22"/>
                      <w:szCs w:val="22"/>
                    </w:rPr>
                    <w:pict>
                      <v:shape id="_x0000_i1061"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F06045" w:rsidP="00310AE4">
                  <w:pPr>
                    <w:ind w:firstLine="0"/>
                    <w:rPr>
                      <w:sz w:val="22"/>
                      <w:szCs w:val="22"/>
                    </w:rPr>
                  </w:pPr>
                  <w:r>
                    <w:rPr>
                      <w:sz w:val="22"/>
                      <w:szCs w:val="22"/>
                    </w:rPr>
                    <w:pict>
                      <v:shape id="_x0000_i1062" type="#_x0000_t75" style="width:13.6pt;height:19pt">
                        <v:imagedata r:id="rId35"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F06045" w:rsidP="00EC067E">
                  <w:pPr>
                    <w:ind w:firstLine="0"/>
                    <w:rPr>
                      <w:sz w:val="22"/>
                      <w:szCs w:val="22"/>
                    </w:rPr>
                  </w:pPr>
                  <w:r>
                    <w:rPr>
                      <w:sz w:val="22"/>
                      <w:szCs w:val="22"/>
                    </w:rPr>
                    <w:pict>
                      <v:shape id="_x0000_i1063" type="#_x0000_t75" style="width:13.6pt;height:19pt">
                        <v:imagedata r:id="rId34"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F06045" w:rsidP="00EC067E">
                  <w:pPr>
                    <w:ind w:firstLine="0"/>
                    <w:rPr>
                      <w:sz w:val="22"/>
                      <w:szCs w:val="22"/>
                    </w:rPr>
                  </w:pPr>
                  <w:r>
                    <w:rPr>
                      <w:sz w:val="22"/>
                      <w:szCs w:val="22"/>
                    </w:rPr>
                    <w:pict>
                      <v:shape id="_x0000_i1064" type="#_x0000_t75" style="width:13.6pt;height:19pt">
                        <v:imagedata r:id="rId35"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F06045" w:rsidP="00EC067E">
                  <w:pPr>
                    <w:ind w:firstLine="0"/>
                    <w:rPr>
                      <w:sz w:val="22"/>
                      <w:szCs w:val="22"/>
                    </w:rPr>
                  </w:pPr>
                  <w:r>
                    <w:rPr>
                      <w:sz w:val="22"/>
                      <w:szCs w:val="22"/>
                    </w:rPr>
                    <w:pict>
                      <v:shape id="_x0000_i1065" type="#_x0000_t75" style="width:13.6pt;height:19pt">
                        <v:imagedata r:id="rId45"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 xml:space="preserve">При заключении Договора цены за единицу товара (единицу объема выполнения работ / </w:t>
            </w:r>
            <w:r w:rsidRPr="003936A4">
              <w:rPr>
                <w:sz w:val="22"/>
                <w:szCs w:val="22"/>
              </w:rPr>
              <w:lastRenderedPageBreak/>
              <w:t>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6CB95AD" wp14:editId="1B39D5B5">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4C83BA7" wp14:editId="60A5204D">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F06045" w:rsidP="00AE62D0">
                  <w:pPr>
                    <w:ind w:firstLine="0"/>
                    <w:rPr>
                      <w:sz w:val="22"/>
                      <w:szCs w:val="22"/>
                      <w:highlight w:val="green"/>
                    </w:rPr>
                  </w:pPr>
                  <w:r>
                    <w:rPr>
                      <w:sz w:val="22"/>
                      <w:szCs w:val="22"/>
                      <w:highlight w:val="green"/>
                    </w:rPr>
                    <w:pict>
                      <v:shape id="_x0000_i1066"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F06045" w:rsidP="00AE62D0">
                  <w:pPr>
                    <w:ind w:firstLine="0"/>
                    <w:rPr>
                      <w:sz w:val="22"/>
                      <w:szCs w:val="22"/>
                      <w:highlight w:val="green"/>
                    </w:rPr>
                  </w:pPr>
                  <w:r>
                    <w:rPr>
                      <w:sz w:val="22"/>
                      <w:szCs w:val="22"/>
                      <w:highlight w:val="green"/>
                    </w:rPr>
                    <w:pict>
                      <v:shape id="_x0000_i1067"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lastRenderedPageBreak/>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F06045" w:rsidP="0090739D">
                  <w:pPr>
                    <w:ind w:firstLine="0"/>
                    <w:rPr>
                      <w:sz w:val="22"/>
                      <w:szCs w:val="22"/>
                    </w:rPr>
                  </w:pPr>
                  <w:r>
                    <w:rPr>
                      <w:sz w:val="22"/>
                      <w:szCs w:val="22"/>
                    </w:rPr>
                    <w:pict>
                      <v:shape id="_x0000_i1068" type="#_x0000_t75" style="width:13.6pt;height:19pt">
                        <v:imagedata r:id="rId35" o:title=""/>
                      </v:shape>
                    </w:pict>
                  </w:r>
                </w:p>
              </w:tc>
              <w:tc>
                <w:tcPr>
                  <w:tcW w:w="8236" w:type="dxa"/>
                  <w:vAlign w:val="center"/>
                </w:tcPr>
                <w:p w:rsidR="00F1761C" w:rsidRPr="003936A4" w:rsidRDefault="007060F1" w:rsidP="0097296C">
                  <w:pPr>
                    <w:pStyle w:val="af1"/>
                    <w:tabs>
                      <w:tab w:val="clear" w:pos="1134"/>
                    </w:tabs>
                    <w:spacing w:before="0" w:after="0"/>
                    <w:ind w:left="0"/>
                    <w:jc w:val="both"/>
                    <w:rPr>
                      <w:sz w:val="22"/>
                      <w:szCs w:val="22"/>
                    </w:rPr>
                  </w:pPr>
                  <w:r w:rsidRPr="007060F1">
                    <w:rPr>
                      <w:sz w:val="22"/>
                      <w:szCs w:val="22"/>
                      <w:lang w:val="en-US"/>
                    </w:rPr>
                    <w:t>svejencevags@nesk-elseti.ru</w:t>
                  </w:r>
                </w:p>
              </w:tc>
            </w:tr>
            <w:tr w:rsidR="00F1761C" w:rsidRPr="003936A4" w:rsidTr="0090739D">
              <w:trPr>
                <w:trHeight w:val="138"/>
              </w:trPr>
              <w:tc>
                <w:tcPr>
                  <w:tcW w:w="585" w:type="dxa"/>
                  <w:vAlign w:val="center"/>
                </w:tcPr>
                <w:p w:rsidR="00F1761C" w:rsidRPr="003936A4" w:rsidRDefault="00F06045" w:rsidP="0090739D">
                  <w:pPr>
                    <w:ind w:firstLine="0"/>
                    <w:rPr>
                      <w:sz w:val="22"/>
                      <w:szCs w:val="22"/>
                    </w:rPr>
                  </w:pPr>
                  <w:r>
                    <w:rPr>
                      <w:sz w:val="22"/>
                      <w:szCs w:val="22"/>
                    </w:rPr>
                    <w:pict>
                      <v:shape id="_x0000_i1069" type="#_x0000_t75" style="width:13.6pt;height:19pt">
                        <v:imagedata r:id="rId34"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8"/>
          <w:headerReference w:type="default" r:id="rId49"/>
          <w:footerReference w:type="default" r:id="rId50"/>
          <w:headerReference w:type="first" r:id="rId5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44D4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0E7AFE">
        <w:t>7 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2"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FE6D37" w:rsidRDefault="00FE6D37" w:rsidP="00FE6D37">
      <w:pPr>
        <w:pStyle w:val="22"/>
        <w:ind w:left="432" w:hanging="432"/>
      </w:pPr>
      <w:r w:rsidRPr="003A1988">
        <w:t>Антидемпинговые меры при проведении закупочных процедур</w:t>
      </w:r>
    </w:p>
    <w:p w:rsidR="00FE6D37" w:rsidRDefault="00FE6D37" w:rsidP="00FE6D37">
      <w:pPr>
        <w:pStyle w:val="-3"/>
        <w:ind w:left="851" w:hanging="851"/>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FE6D37" w:rsidRDefault="00FE6D37" w:rsidP="004E5BE2">
      <w:pPr>
        <w:pStyle w:val="-3"/>
        <w:numPr>
          <w:ilvl w:val="0"/>
          <w:numId w:val="0"/>
        </w:numPr>
        <w:ind w:left="851"/>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FE6D37" w:rsidRDefault="00FE6D37" w:rsidP="00FE6D37">
      <w:pPr>
        <w:pStyle w:val="-3"/>
        <w:ind w:left="851" w:hanging="851"/>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FE6D37" w:rsidRDefault="00FE6D37" w:rsidP="00FE6D37">
      <w:pPr>
        <w:pStyle w:val="-3"/>
        <w:ind w:left="851" w:hanging="851"/>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FE6D37" w:rsidRDefault="00FE6D37" w:rsidP="00FE6D37">
      <w:pPr>
        <w:pStyle w:val="-3"/>
        <w:ind w:left="851" w:hanging="851"/>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FE6D37" w:rsidRDefault="00FE6D37" w:rsidP="00FE6D37">
      <w:pPr>
        <w:pStyle w:val="-3"/>
        <w:ind w:left="851" w:hanging="851"/>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FE6D37" w:rsidRDefault="00FE6D37" w:rsidP="00FE6D37">
      <w:pPr>
        <w:pStyle w:val="-3"/>
        <w:ind w:left="851" w:hanging="851"/>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FE6D37" w:rsidRDefault="00FE6D37" w:rsidP="00FE6D37">
      <w:pPr>
        <w:pStyle w:val="-3"/>
        <w:ind w:left="851" w:hanging="851"/>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00A20C58" w:rsidRPr="0085682C">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lastRenderedPageBreak/>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lastRenderedPageBreak/>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bookmarkStart w:id="393" w:name="_Ref295186382"/>
      <w:bookmarkStart w:id="394" w:name="_Toc299956857"/>
      <w:bookmarkStart w:id="395" w:name="_Toc299981482"/>
      <w:bookmarkStart w:id="396" w:name="_Toc299981685"/>
      <w:bookmarkStart w:id="397" w:name="_Toc355626495"/>
      <w:bookmarkStart w:id="398"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399" w:name="ф_06_квалификационная_часть"/>
      <w:bookmarkStart w:id="400" w:name="_Ref55280368"/>
      <w:bookmarkStart w:id="401" w:name="_Toc55285361"/>
      <w:bookmarkStart w:id="402" w:name="_Toc55305390"/>
      <w:bookmarkStart w:id="403" w:name="_Toc57314671"/>
      <w:bookmarkStart w:id="404" w:name="_Toc69728985"/>
      <w:bookmarkStart w:id="405" w:name="_Toc355626502"/>
      <w:bookmarkStart w:id="406" w:name="_Toc386739265"/>
      <w:bookmarkStart w:id="407" w:name="_Toc390239241"/>
      <w:bookmarkStart w:id="408" w:name="_Ref390521000"/>
      <w:bookmarkStart w:id="409" w:name="_Toc392487689"/>
      <w:bookmarkStart w:id="410" w:name="_Toc392489393"/>
      <w:bookmarkStart w:id="411" w:name="ФОРМЫ"/>
      <w:bookmarkEnd w:id="374"/>
      <w:bookmarkEnd w:id="375"/>
      <w:bookmarkEnd w:id="393"/>
      <w:bookmarkEnd w:id="394"/>
      <w:bookmarkEnd w:id="395"/>
      <w:bookmarkEnd w:id="396"/>
      <w:bookmarkEnd w:id="397"/>
      <w:bookmarkEnd w:id="398"/>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9"/>
      <w:bookmarkEnd w:id="400"/>
      <w:bookmarkEnd w:id="401"/>
      <w:bookmarkEnd w:id="402"/>
      <w:bookmarkEnd w:id="403"/>
      <w:bookmarkEnd w:id="404"/>
      <w:bookmarkEnd w:id="405"/>
      <w:bookmarkEnd w:id="406"/>
      <w:bookmarkEnd w:id="407"/>
      <w:r w:rsidR="006211CA" w:rsidRPr="0085682C">
        <w:rPr>
          <w:rFonts w:ascii="Times New Roman" w:hAnsi="Times New Roman" w:cs="Times New Roman"/>
        </w:rPr>
        <w:t>в</w:t>
      </w:r>
      <w:r w:rsidR="00CD2739" w:rsidRPr="0085682C">
        <w:rPr>
          <w:rFonts w:ascii="Times New Roman" w:hAnsi="Times New Roman" w:cs="Times New Roman"/>
        </w:rPr>
        <w:t>»</w:t>
      </w:r>
      <w:bookmarkEnd w:id="408"/>
      <w:bookmarkEnd w:id="409"/>
      <w:bookmarkEnd w:id="410"/>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2" w:name="_Ref391415729"/>
      <w:bookmarkStart w:id="413" w:name="_Toc392487707"/>
      <w:bookmarkStart w:id="414" w:name="_Toc392489411"/>
      <w:r w:rsidRPr="0085682C">
        <w:lastRenderedPageBreak/>
        <w:t xml:space="preserve">Сведения об </w:t>
      </w:r>
      <w:r w:rsidR="003127FF" w:rsidRPr="0085682C">
        <w:t>Участник</w:t>
      </w:r>
      <w:r w:rsidRPr="0085682C">
        <w:t>е закупки</w:t>
      </w:r>
      <w:bookmarkEnd w:id="412"/>
      <w:bookmarkEnd w:id="413"/>
      <w:bookmarkEnd w:id="41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9"/>
          <w:headerReference w:type="default" r:id="rId60"/>
          <w:headerReference w:type="first" r:id="rId61"/>
          <w:pgSz w:w="11906" w:h="16838" w:code="9"/>
          <w:pgMar w:top="510" w:right="1021" w:bottom="567" w:left="1247" w:header="737" w:footer="680" w:gutter="0"/>
          <w:cols w:space="708"/>
          <w:docGrid w:linePitch="360"/>
        </w:sectPr>
      </w:pPr>
    </w:p>
    <w:p w:rsidR="00625DAC" w:rsidRPr="0085682C" w:rsidRDefault="004A28FA">
      <w:pPr>
        <w:pStyle w:val="-32"/>
      </w:pPr>
      <w:bookmarkStart w:id="415" w:name="_Ref391415747"/>
      <w:bookmarkStart w:id="416" w:name="_Toc392487714"/>
      <w:bookmarkStart w:id="417"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5"/>
      <w:bookmarkEnd w:id="416"/>
      <w:bookmarkEnd w:id="41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3"/>
          <w:headerReference w:type="default" r:id="rId64"/>
          <w:headerReference w:type="first" r:id="rId65"/>
          <w:footerReference w:type="first" r:id="rId66"/>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8"/>
          <w:headerReference w:type="default" r:id="rId69"/>
          <w:footerReference w:type="default" r:id="rId70"/>
          <w:headerReference w:type="first" r:id="rId71"/>
          <w:footerReference w:type="first" r:id="rId72"/>
          <w:pgSz w:w="11906" w:h="16838" w:code="9"/>
          <w:pgMar w:top="510" w:right="1021" w:bottom="567" w:left="1247" w:header="737" w:footer="680" w:gutter="0"/>
          <w:cols w:space="708"/>
          <w:docGrid w:linePitch="360"/>
        </w:sectPr>
      </w:pPr>
      <w:bookmarkStart w:id="418" w:name="_Ref391415755"/>
    </w:p>
    <w:p w:rsidR="00625DAC" w:rsidRPr="0085682C" w:rsidRDefault="00B578FB">
      <w:pPr>
        <w:pStyle w:val="-32"/>
      </w:pPr>
      <w:bookmarkStart w:id="419" w:name="_Toc392487718"/>
      <w:bookmarkStart w:id="42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8"/>
      <w:bookmarkEnd w:id="419"/>
      <w:bookmarkEnd w:id="42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3"/>
          <w:headerReference w:type="default" r:id="rId74"/>
          <w:headerReference w:type="first" r:id="rId75"/>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6"/>
          <w:headerReference w:type="default" r:id="rId77"/>
          <w:headerReference w:type="first" r:id="rId78"/>
          <w:pgSz w:w="11906" w:h="16838" w:code="9"/>
          <w:pgMar w:top="510" w:right="1021" w:bottom="567" w:left="1247" w:header="737" w:footer="680" w:gutter="0"/>
          <w:cols w:space="708"/>
          <w:docGrid w:linePitch="360"/>
        </w:sectPr>
      </w:pPr>
      <w:bookmarkStart w:id="421" w:name="_Ref392058919"/>
      <w:bookmarkStart w:id="422" w:name="_Toc392487723"/>
      <w:bookmarkStart w:id="42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1"/>
    <w:bookmarkEnd w:id="422"/>
    <w:bookmarkEnd w:id="423"/>
    <w:p w:rsidR="00D8125A" w:rsidRPr="0085682C" w:rsidRDefault="00D8125A">
      <w:pPr>
        <w:ind w:firstLine="0"/>
        <w:sectPr w:rsidR="00D8125A" w:rsidRPr="0085682C" w:rsidSect="000627CB">
          <w:headerReference w:type="even" r:id="rId79"/>
          <w:headerReference w:type="first" r:id="rId80"/>
          <w:footerReference w:type="first" r:id="rId8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4" w:name="_Ref391415737"/>
      <w:bookmarkStart w:id="425" w:name="_Toc392487709"/>
      <w:bookmarkStart w:id="426" w:name="_Toc392489413"/>
      <w:bookmarkStart w:id="427" w:name="_Toc390239284"/>
      <w:bookmarkStart w:id="428" w:name="_Ref390239697"/>
      <w:bookmarkEnd w:id="411"/>
      <w:r w:rsidRPr="0085682C">
        <w:lastRenderedPageBreak/>
        <w:t xml:space="preserve">Сведения об опыте выполнения аналогичных </w:t>
      </w:r>
      <w:bookmarkEnd w:id="424"/>
      <w:bookmarkEnd w:id="425"/>
      <w:bookmarkEnd w:id="426"/>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2"/>
          <w:headerReference w:type="default" r:id="rId83"/>
          <w:footerReference w:type="default" r:id="rId84"/>
          <w:headerReference w:type="first" r:id="rId85"/>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29" w:name="_Toc414463293"/>
      <w:r w:rsidRPr="0085682C">
        <w:rPr>
          <w:b/>
          <w:bCs/>
          <w:caps/>
        </w:rPr>
        <w:lastRenderedPageBreak/>
        <w:t>Материалы от Участников для разъяснения Заявок</w:t>
      </w:r>
      <w:bookmarkEnd w:id="42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6"/>
          <w:headerReference w:type="first" r:id="rId87"/>
          <w:footerReference w:type="first" r:id="rId88"/>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0" w:name="_Toc414463297"/>
    </w:p>
    <w:bookmarkEnd w:id="430"/>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2" w:name="_Toc392487739"/>
      <w:bookmarkStart w:id="433"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2"/>
      <w:bookmarkEnd w:id="433"/>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4" w:name="_Toc390239295"/>
      <w:bookmarkStart w:id="435" w:name="_Ref390239588"/>
      <w:bookmarkStart w:id="436" w:name="_Toc392487740"/>
      <w:bookmarkStart w:id="437" w:name="_Toc392489444"/>
      <w:bookmarkStart w:id="438" w:name="_Toc438724511"/>
      <w:bookmarkEnd w:id="427"/>
      <w:bookmarkEnd w:id="42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4"/>
      <w:bookmarkEnd w:id="435"/>
      <w:bookmarkEnd w:id="436"/>
      <w:bookmarkEnd w:id="437"/>
      <w:bookmarkEnd w:id="43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9"/>
          <w:headerReference w:type="default" r:id="rId90"/>
          <w:headerReference w:type="first" r:id="rId9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9" w:name="_Toc392487741"/>
      <w:bookmarkStart w:id="440"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9"/>
      <w:bookmarkEnd w:id="440"/>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1" w:name="_Toc392487742"/>
      <w:bookmarkStart w:id="442" w:name="_Toc392489446"/>
      <w:bookmarkStart w:id="443" w:name="_Toc438724512"/>
      <w:r w:rsidRPr="0085682C">
        <w:rPr>
          <w:rFonts w:ascii="Times New Roman" w:hAnsi="Times New Roman"/>
        </w:rPr>
        <w:lastRenderedPageBreak/>
        <w:t>Техническое задание</w:t>
      </w:r>
      <w:bookmarkEnd w:id="441"/>
      <w:bookmarkEnd w:id="442"/>
      <w:bookmarkEnd w:id="44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2"/>
      <w:headerReference w:type="default" r:id="rId93"/>
      <w:headerReference w:type="first" r:id="rId9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45" w:rsidRDefault="00F06045">
      <w:r>
        <w:separator/>
      </w:r>
    </w:p>
    <w:p w:rsidR="00F06045" w:rsidRDefault="00F06045"/>
  </w:endnote>
  <w:endnote w:type="continuationSeparator" w:id="0">
    <w:p w:rsidR="00F06045" w:rsidRDefault="00F06045">
      <w:r>
        <w:continuationSeparator/>
      </w:r>
    </w:p>
    <w:p w:rsidR="00F06045" w:rsidRDefault="00F06045"/>
  </w:endnote>
  <w:endnote w:type="continuationNotice" w:id="1">
    <w:p w:rsidR="00F06045" w:rsidRDefault="00F06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0160" behindDoc="0" locked="0" layoutInCell="1" allowOverlap="1" wp14:anchorId="12C0C42C" wp14:editId="08327E1D">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CA417E">
                            <w:rPr>
                              <w:noProof/>
                            </w:rPr>
                            <w:t>9</w:t>
                          </w:r>
                          <w:r>
                            <w:rPr>
                              <w:noProof/>
                            </w:rPr>
                            <w:fldChar w:fldCharType="end"/>
                          </w:r>
                          <w:r>
                            <w:t xml:space="preserve">  ИЗ  </w:t>
                          </w:r>
                          <w:r w:rsidR="00BD4801">
                            <w:fldChar w:fldCharType="begin"/>
                          </w:r>
                          <w:r w:rsidR="00BD4801">
                            <w:instrText xml:space="preserve"> NUMPAGES </w:instrText>
                          </w:r>
                          <w:r w:rsidR="00BD4801">
                            <w:fldChar w:fldCharType="separate"/>
                          </w:r>
                          <w:r w:rsidR="00CA417E">
                            <w:rPr>
                              <w:noProof/>
                            </w:rPr>
                            <w:t>57</w:t>
                          </w:r>
                          <w:r w:rsidR="00BD480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CA417E">
                      <w:rPr>
                        <w:noProof/>
                      </w:rPr>
                      <w:t>9</w:t>
                    </w:r>
                    <w:r>
                      <w:rPr>
                        <w:noProof/>
                      </w:rPr>
                      <w:fldChar w:fldCharType="end"/>
                    </w:r>
                    <w:r>
                      <w:t xml:space="preserve">  ИЗ  </w:t>
                    </w:r>
                    <w:r w:rsidR="00BD4801">
                      <w:fldChar w:fldCharType="begin"/>
                    </w:r>
                    <w:r w:rsidR="00BD4801">
                      <w:instrText xml:space="preserve"> NUMPAGES </w:instrText>
                    </w:r>
                    <w:r w:rsidR="00BD4801">
                      <w:fldChar w:fldCharType="separate"/>
                    </w:r>
                    <w:r w:rsidR="00CA417E">
                      <w:rPr>
                        <w:noProof/>
                      </w:rPr>
                      <w:t>57</w:t>
                    </w:r>
                    <w:r w:rsidR="00BD4801">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4256" behindDoc="0" locked="0" layoutInCell="1" allowOverlap="1" wp14:anchorId="141CE5DF" wp14:editId="33AB4C7E">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CA417E">
                            <w:rPr>
                              <w:noProof/>
                            </w:rPr>
                            <w:t>14</w:t>
                          </w:r>
                          <w:r>
                            <w:rPr>
                              <w:noProof/>
                            </w:rPr>
                            <w:fldChar w:fldCharType="end"/>
                          </w:r>
                          <w:r>
                            <w:t xml:space="preserve">  ИЗ  </w:t>
                          </w:r>
                          <w:r w:rsidR="00BD4801">
                            <w:fldChar w:fldCharType="begin"/>
                          </w:r>
                          <w:r w:rsidR="00BD4801">
                            <w:instrText xml:space="preserve"> NUMPAGES </w:instrText>
                          </w:r>
                          <w:r w:rsidR="00BD4801">
                            <w:fldChar w:fldCharType="separate"/>
                          </w:r>
                          <w:r w:rsidR="00CA417E">
                            <w:rPr>
                              <w:noProof/>
                            </w:rPr>
                            <w:t>57</w:t>
                          </w:r>
                          <w:r w:rsidR="00BD480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CA417E">
                      <w:rPr>
                        <w:noProof/>
                      </w:rPr>
                      <w:t>14</w:t>
                    </w:r>
                    <w:r>
                      <w:rPr>
                        <w:noProof/>
                      </w:rPr>
                      <w:fldChar w:fldCharType="end"/>
                    </w:r>
                    <w:r>
                      <w:t xml:space="preserve">  ИЗ  </w:t>
                    </w:r>
                    <w:r w:rsidR="00BD4801">
                      <w:fldChar w:fldCharType="begin"/>
                    </w:r>
                    <w:r w:rsidR="00BD4801">
                      <w:instrText xml:space="preserve"> NUMPAGES </w:instrText>
                    </w:r>
                    <w:r w:rsidR="00BD4801">
                      <w:fldChar w:fldCharType="separate"/>
                    </w:r>
                    <w:r w:rsidR="00CA417E">
                      <w:rPr>
                        <w:noProof/>
                      </w:rPr>
                      <w:t>57</w:t>
                    </w:r>
                    <w:r w:rsidR="00BD4801">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DA24541" wp14:editId="6547B364">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CA417E">
                            <w:rPr>
                              <w:noProof/>
                            </w:rPr>
                            <w:t>14</w:t>
                          </w:r>
                          <w:r>
                            <w:rPr>
                              <w:noProof/>
                            </w:rPr>
                            <w:fldChar w:fldCharType="end"/>
                          </w:r>
                          <w:r>
                            <w:t xml:space="preserve">  ИЗ  </w:t>
                          </w:r>
                          <w:r w:rsidR="00BD4801">
                            <w:fldChar w:fldCharType="begin"/>
                          </w:r>
                          <w:r w:rsidR="00BD4801">
                            <w:instrText xml:space="preserve"> NUMPAGES </w:instrText>
                          </w:r>
                          <w:r w:rsidR="00BD4801">
                            <w:fldChar w:fldCharType="separate"/>
                          </w:r>
                          <w:r w:rsidR="00CA417E">
                            <w:rPr>
                              <w:noProof/>
                            </w:rPr>
                            <w:t>57</w:t>
                          </w:r>
                          <w:r w:rsidR="00BD480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CA417E">
                      <w:rPr>
                        <w:noProof/>
                      </w:rPr>
                      <w:t>14</w:t>
                    </w:r>
                    <w:r>
                      <w:rPr>
                        <w:noProof/>
                      </w:rPr>
                      <w:fldChar w:fldCharType="end"/>
                    </w:r>
                    <w:r>
                      <w:t xml:space="preserve">  ИЗ  </w:t>
                    </w:r>
                    <w:r w:rsidR="00BD4801">
                      <w:fldChar w:fldCharType="begin"/>
                    </w:r>
                    <w:r w:rsidR="00BD4801">
                      <w:instrText xml:space="preserve"> NUMPAGES </w:instrText>
                    </w:r>
                    <w:r w:rsidR="00BD4801">
                      <w:fldChar w:fldCharType="separate"/>
                    </w:r>
                    <w:r w:rsidR="00CA417E">
                      <w:rPr>
                        <w:noProof/>
                      </w:rPr>
                      <w:t>57</w:t>
                    </w:r>
                    <w:r w:rsidR="00BD4801">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A7210" w:rsidRDefault="003C53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57</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D7D58" w:rsidRDefault="003C5310"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BD4801">
      <w:fldChar w:fldCharType="begin"/>
    </w:r>
    <w:r w:rsidR="00BD4801">
      <w:instrText xml:space="preserve"> NUMPAGES </w:instrText>
    </w:r>
    <w:r w:rsidR="00BD4801">
      <w:fldChar w:fldCharType="separate"/>
    </w:r>
    <w:r>
      <w:rPr>
        <w:noProof/>
      </w:rPr>
      <w:t>57</w:t>
    </w:r>
    <w:r w:rsidR="00BD4801">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156</w:t>
        </w:r>
        <w:r>
          <w:rPr>
            <w:noProof/>
          </w:rPr>
          <w:fldChar w:fldCharType="end"/>
        </w:r>
      </w:p>
    </w:sdtContent>
  </w:sdt>
  <w:p w:rsidR="003C5310" w:rsidRPr="002F5350" w:rsidRDefault="003C5310"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BC586A">
    <w:pPr>
      <w:pStyle w:val="S4"/>
    </w:pPr>
    <w:r>
      <w:rPr>
        <w:noProof/>
      </w:rPr>
      <mc:AlternateContent>
        <mc:Choice Requires="wps">
          <w:drawing>
            <wp:anchor distT="0" distB="0" distL="114300" distR="114300" simplePos="0" relativeHeight="251770880" behindDoc="0" locked="0" layoutInCell="1" allowOverlap="1" wp14:anchorId="0AB9E8EF" wp14:editId="1929D7F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CA417E">
                            <w:rPr>
                              <w:noProof/>
                            </w:rPr>
                            <w:t>57</w:t>
                          </w:r>
                          <w:r>
                            <w:rPr>
                              <w:noProof/>
                            </w:rPr>
                            <w:fldChar w:fldCharType="end"/>
                          </w:r>
                          <w:r>
                            <w:t xml:space="preserve">  ИЗ  </w:t>
                          </w:r>
                          <w:r w:rsidR="00BD4801">
                            <w:fldChar w:fldCharType="begin"/>
                          </w:r>
                          <w:r w:rsidR="00BD4801">
                            <w:instrText xml:space="preserve"> NUMPAGES </w:instrText>
                          </w:r>
                          <w:r w:rsidR="00BD4801">
                            <w:fldChar w:fldCharType="separate"/>
                          </w:r>
                          <w:r w:rsidR="00CA417E">
                            <w:rPr>
                              <w:noProof/>
                            </w:rPr>
                            <w:t>57</w:t>
                          </w:r>
                          <w:r w:rsidR="00BD480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CA417E">
                      <w:rPr>
                        <w:noProof/>
                      </w:rPr>
                      <w:t>57</w:t>
                    </w:r>
                    <w:r>
                      <w:rPr>
                        <w:noProof/>
                      </w:rPr>
                      <w:fldChar w:fldCharType="end"/>
                    </w:r>
                    <w:r>
                      <w:t xml:space="preserve">  ИЗ  </w:t>
                    </w:r>
                    <w:r w:rsidR="00BD4801">
                      <w:fldChar w:fldCharType="begin"/>
                    </w:r>
                    <w:r w:rsidR="00BD4801">
                      <w:instrText xml:space="preserve"> NUMPAGES </w:instrText>
                    </w:r>
                    <w:r w:rsidR="00BD4801">
                      <w:fldChar w:fldCharType="separate"/>
                    </w:r>
                    <w:r w:rsidR="00CA417E">
                      <w:rPr>
                        <w:noProof/>
                      </w:rPr>
                      <w:t>57</w:t>
                    </w:r>
                    <w:r w:rsidR="00BD4801">
                      <w:rPr>
                        <w:noProof/>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235</w:t>
        </w:r>
        <w:r>
          <w:rPr>
            <w:noProof/>
          </w:rPr>
          <w:fldChar w:fldCharType="end"/>
        </w:r>
      </w:p>
    </w:sdtContent>
  </w:sdt>
  <w:p w:rsidR="003C5310" w:rsidRPr="002F5350" w:rsidRDefault="003C5310"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45" w:rsidRDefault="00F06045">
      <w:r>
        <w:separator/>
      </w:r>
    </w:p>
    <w:p w:rsidR="00F06045" w:rsidRDefault="00F06045"/>
  </w:footnote>
  <w:footnote w:type="continuationSeparator" w:id="0">
    <w:p w:rsidR="00F06045" w:rsidRDefault="00F06045">
      <w:r>
        <w:continuationSeparator/>
      </w:r>
    </w:p>
    <w:p w:rsidR="00F06045" w:rsidRDefault="00F06045"/>
  </w:footnote>
  <w:footnote w:type="continuationNotice" w:id="1">
    <w:p w:rsidR="00F06045" w:rsidRDefault="00F060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C5310" w:rsidRPr="00A85687" w:rsidRDefault="003C531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C5310" w:rsidRDefault="003C531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A9055E" w:rsidRDefault="003C5310"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2418EC">
      <w:trPr>
        <w:trHeight w:val="253"/>
      </w:trPr>
      <w:tc>
        <w:tcPr>
          <w:tcW w:w="5000" w:type="pct"/>
          <w:tcBorders>
            <w:bottom w:val="single" w:sz="12" w:space="0" w:color="FFC000"/>
          </w:tcBorders>
          <w:vAlign w:val="center"/>
        </w:tcPr>
        <w:p w:rsidR="003C5310" w:rsidRPr="001B5DAB" w:rsidRDefault="003C531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E074C1">
    <w:pPr>
      <w:pStyle w:val="a9"/>
      <w:pBdr>
        <w:bottom w:val="none" w:sz="0" w:space="0" w:color="auto"/>
      </w:pBdr>
    </w:pPr>
  </w:p>
  <w:p w:rsidR="003C5310" w:rsidRDefault="003C5310">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C5310" w:rsidRDefault="003C531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1106F" w:rsidRDefault="003C5310"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3C5310" w:rsidTr="00864AB2">
      <w:trPr>
        <w:trHeight w:val="73"/>
      </w:trPr>
      <w:tc>
        <w:tcPr>
          <w:tcW w:w="5000" w:type="pct"/>
          <w:tcBorders>
            <w:bottom w:val="single" w:sz="12" w:space="0" w:color="FFD200"/>
          </w:tcBorders>
          <w:vAlign w:val="center"/>
        </w:tcPr>
        <w:p w:rsidR="003C5310" w:rsidRPr="00635DCE" w:rsidRDefault="003C531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C5310" w:rsidRDefault="003C5310"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D75296" w:rsidRDefault="003C531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A25"/>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16A"/>
    <w:rsid w:val="00014257"/>
    <w:rsid w:val="000146A2"/>
    <w:rsid w:val="00014BF6"/>
    <w:rsid w:val="00014E57"/>
    <w:rsid w:val="00015033"/>
    <w:rsid w:val="00015076"/>
    <w:rsid w:val="00015185"/>
    <w:rsid w:val="000155EF"/>
    <w:rsid w:val="0001596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65"/>
    <w:rsid w:val="000223CE"/>
    <w:rsid w:val="000229A1"/>
    <w:rsid w:val="00022C78"/>
    <w:rsid w:val="00022FAE"/>
    <w:rsid w:val="00023573"/>
    <w:rsid w:val="000235C7"/>
    <w:rsid w:val="0002360A"/>
    <w:rsid w:val="0002389A"/>
    <w:rsid w:val="00023D61"/>
    <w:rsid w:val="00023EEE"/>
    <w:rsid w:val="0002404A"/>
    <w:rsid w:val="000243A1"/>
    <w:rsid w:val="00024999"/>
    <w:rsid w:val="00024C1B"/>
    <w:rsid w:val="00024F5B"/>
    <w:rsid w:val="00025073"/>
    <w:rsid w:val="0002643C"/>
    <w:rsid w:val="00026AFF"/>
    <w:rsid w:val="000274F1"/>
    <w:rsid w:val="00027AF2"/>
    <w:rsid w:val="00027B63"/>
    <w:rsid w:val="00030469"/>
    <w:rsid w:val="0003048C"/>
    <w:rsid w:val="000307F1"/>
    <w:rsid w:val="000307FA"/>
    <w:rsid w:val="000308E1"/>
    <w:rsid w:val="00030939"/>
    <w:rsid w:val="00030C30"/>
    <w:rsid w:val="00030CEE"/>
    <w:rsid w:val="00030EF0"/>
    <w:rsid w:val="00031051"/>
    <w:rsid w:val="0003108E"/>
    <w:rsid w:val="00031352"/>
    <w:rsid w:val="00031498"/>
    <w:rsid w:val="000314FA"/>
    <w:rsid w:val="00031536"/>
    <w:rsid w:val="000319CA"/>
    <w:rsid w:val="00031C2F"/>
    <w:rsid w:val="00031F48"/>
    <w:rsid w:val="000321CF"/>
    <w:rsid w:val="00032610"/>
    <w:rsid w:val="00032698"/>
    <w:rsid w:val="0003271C"/>
    <w:rsid w:val="00032904"/>
    <w:rsid w:val="00032C09"/>
    <w:rsid w:val="0003338E"/>
    <w:rsid w:val="000338A0"/>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2A0"/>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11A"/>
    <w:rsid w:val="00061283"/>
    <w:rsid w:val="00061703"/>
    <w:rsid w:val="000617BB"/>
    <w:rsid w:val="00061E7D"/>
    <w:rsid w:val="00061FB5"/>
    <w:rsid w:val="0006207E"/>
    <w:rsid w:val="000620A1"/>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3F7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3EF0"/>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2A"/>
    <w:rsid w:val="000A2F87"/>
    <w:rsid w:val="000A34F5"/>
    <w:rsid w:val="000A3602"/>
    <w:rsid w:val="000A3B16"/>
    <w:rsid w:val="000A3B35"/>
    <w:rsid w:val="000A3B8D"/>
    <w:rsid w:val="000A3F94"/>
    <w:rsid w:val="000A4CFC"/>
    <w:rsid w:val="000A5012"/>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65"/>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426"/>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C5B"/>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74C"/>
    <w:rsid w:val="000E5AAC"/>
    <w:rsid w:val="000E5D26"/>
    <w:rsid w:val="000E65E3"/>
    <w:rsid w:val="000E6C45"/>
    <w:rsid w:val="000E6D12"/>
    <w:rsid w:val="000E6DE9"/>
    <w:rsid w:val="000E7039"/>
    <w:rsid w:val="000E763A"/>
    <w:rsid w:val="000E7743"/>
    <w:rsid w:val="000E796A"/>
    <w:rsid w:val="000E7AFE"/>
    <w:rsid w:val="000E7C86"/>
    <w:rsid w:val="000F0032"/>
    <w:rsid w:val="000F0065"/>
    <w:rsid w:val="000F073E"/>
    <w:rsid w:val="000F1173"/>
    <w:rsid w:val="000F1C2F"/>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0F7"/>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33F"/>
    <w:rsid w:val="0013442F"/>
    <w:rsid w:val="00134B4C"/>
    <w:rsid w:val="00134FD4"/>
    <w:rsid w:val="001352CE"/>
    <w:rsid w:val="0013530A"/>
    <w:rsid w:val="00135514"/>
    <w:rsid w:val="0013579D"/>
    <w:rsid w:val="00135931"/>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1A2"/>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6E57"/>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69"/>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9BB"/>
    <w:rsid w:val="00194CAB"/>
    <w:rsid w:val="00194DE6"/>
    <w:rsid w:val="00194E87"/>
    <w:rsid w:val="00195027"/>
    <w:rsid w:val="001952DB"/>
    <w:rsid w:val="001955D9"/>
    <w:rsid w:val="001956B2"/>
    <w:rsid w:val="00195A50"/>
    <w:rsid w:val="00195BBE"/>
    <w:rsid w:val="00195C2A"/>
    <w:rsid w:val="00195CAF"/>
    <w:rsid w:val="00195CE2"/>
    <w:rsid w:val="001960A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5DE"/>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3D"/>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2AD"/>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DE5"/>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1B0"/>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B0C"/>
    <w:rsid w:val="001E4CAF"/>
    <w:rsid w:val="001E4D51"/>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392C"/>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0E"/>
    <w:rsid w:val="00224875"/>
    <w:rsid w:val="00224DBC"/>
    <w:rsid w:val="00224FA0"/>
    <w:rsid w:val="0022504C"/>
    <w:rsid w:val="00225275"/>
    <w:rsid w:val="002253F4"/>
    <w:rsid w:val="00225540"/>
    <w:rsid w:val="0022568D"/>
    <w:rsid w:val="002258E3"/>
    <w:rsid w:val="0022595D"/>
    <w:rsid w:val="00225DFE"/>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E6"/>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6849"/>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C9"/>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50F"/>
    <w:rsid w:val="00263CD9"/>
    <w:rsid w:val="00263E5D"/>
    <w:rsid w:val="00264772"/>
    <w:rsid w:val="002647E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8"/>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9D"/>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2B6"/>
    <w:rsid w:val="002B7384"/>
    <w:rsid w:val="002B764B"/>
    <w:rsid w:val="002B7739"/>
    <w:rsid w:val="002B7884"/>
    <w:rsid w:val="002B7A66"/>
    <w:rsid w:val="002B7E67"/>
    <w:rsid w:val="002C04DD"/>
    <w:rsid w:val="002C061D"/>
    <w:rsid w:val="002C07EA"/>
    <w:rsid w:val="002C0829"/>
    <w:rsid w:val="002C085C"/>
    <w:rsid w:val="002C0CE1"/>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73D"/>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70"/>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15D"/>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5EC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A83"/>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98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1E6F"/>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5EE1"/>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374"/>
    <w:rsid w:val="0035040B"/>
    <w:rsid w:val="0035080F"/>
    <w:rsid w:val="00350865"/>
    <w:rsid w:val="0035086A"/>
    <w:rsid w:val="00350BC3"/>
    <w:rsid w:val="00351075"/>
    <w:rsid w:val="00351126"/>
    <w:rsid w:val="003516D0"/>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1A"/>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495"/>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579"/>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B"/>
    <w:rsid w:val="003A351F"/>
    <w:rsid w:val="003A356C"/>
    <w:rsid w:val="003A3577"/>
    <w:rsid w:val="003A38E0"/>
    <w:rsid w:val="003A3DF2"/>
    <w:rsid w:val="003A4225"/>
    <w:rsid w:val="003A449B"/>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310"/>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C7E60"/>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736"/>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08B"/>
    <w:rsid w:val="0041321C"/>
    <w:rsid w:val="004136BF"/>
    <w:rsid w:val="00413748"/>
    <w:rsid w:val="00413BD2"/>
    <w:rsid w:val="00413CB3"/>
    <w:rsid w:val="0041455D"/>
    <w:rsid w:val="00414C94"/>
    <w:rsid w:val="00414F3E"/>
    <w:rsid w:val="0041531C"/>
    <w:rsid w:val="00415428"/>
    <w:rsid w:val="00415756"/>
    <w:rsid w:val="00415BC0"/>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367"/>
    <w:rsid w:val="004455EC"/>
    <w:rsid w:val="00445614"/>
    <w:rsid w:val="004458CE"/>
    <w:rsid w:val="00445C2D"/>
    <w:rsid w:val="00445F6D"/>
    <w:rsid w:val="00445FC5"/>
    <w:rsid w:val="004460FC"/>
    <w:rsid w:val="004461D6"/>
    <w:rsid w:val="004464EC"/>
    <w:rsid w:val="00446AD9"/>
    <w:rsid w:val="00446C82"/>
    <w:rsid w:val="004476FD"/>
    <w:rsid w:val="00447AA3"/>
    <w:rsid w:val="00447C1B"/>
    <w:rsid w:val="00447D7E"/>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57FE1"/>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C6A"/>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B7F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5BE2"/>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4E"/>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37F"/>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12"/>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BA6"/>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0FDE"/>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70B"/>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CA6"/>
    <w:rsid w:val="005A3196"/>
    <w:rsid w:val="005A3268"/>
    <w:rsid w:val="005A3712"/>
    <w:rsid w:val="005A391B"/>
    <w:rsid w:val="005A3C87"/>
    <w:rsid w:val="005A3D35"/>
    <w:rsid w:val="005A3E6F"/>
    <w:rsid w:val="005A486F"/>
    <w:rsid w:val="005A4955"/>
    <w:rsid w:val="005A4C25"/>
    <w:rsid w:val="005A4CD5"/>
    <w:rsid w:val="005A5235"/>
    <w:rsid w:val="005A54EB"/>
    <w:rsid w:val="005A5799"/>
    <w:rsid w:val="005A59DA"/>
    <w:rsid w:val="005A60AF"/>
    <w:rsid w:val="005A63B6"/>
    <w:rsid w:val="005A68ED"/>
    <w:rsid w:val="005A6D76"/>
    <w:rsid w:val="005A6FED"/>
    <w:rsid w:val="005A7448"/>
    <w:rsid w:val="005A753A"/>
    <w:rsid w:val="005A7857"/>
    <w:rsid w:val="005A7B59"/>
    <w:rsid w:val="005A7D58"/>
    <w:rsid w:val="005A7D5D"/>
    <w:rsid w:val="005A7DDE"/>
    <w:rsid w:val="005B02E4"/>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E5"/>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747"/>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0B"/>
    <w:rsid w:val="005F126E"/>
    <w:rsid w:val="005F12E7"/>
    <w:rsid w:val="005F136A"/>
    <w:rsid w:val="005F14EE"/>
    <w:rsid w:val="005F15D8"/>
    <w:rsid w:val="005F1726"/>
    <w:rsid w:val="005F203D"/>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B59"/>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2FF"/>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357"/>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4D4C"/>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6F8"/>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932"/>
    <w:rsid w:val="006A2CAD"/>
    <w:rsid w:val="006A2FE8"/>
    <w:rsid w:val="006A3742"/>
    <w:rsid w:val="006A3AF8"/>
    <w:rsid w:val="006A3B1A"/>
    <w:rsid w:val="006A3BD0"/>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140"/>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7B6"/>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0F1"/>
    <w:rsid w:val="00706379"/>
    <w:rsid w:val="00706533"/>
    <w:rsid w:val="007069D7"/>
    <w:rsid w:val="00706EF6"/>
    <w:rsid w:val="00706FB9"/>
    <w:rsid w:val="00707381"/>
    <w:rsid w:val="007076F6"/>
    <w:rsid w:val="00707709"/>
    <w:rsid w:val="007079A6"/>
    <w:rsid w:val="00707AC2"/>
    <w:rsid w:val="00710715"/>
    <w:rsid w:val="00710F6F"/>
    <w:rsid w:val="00710F9B"/>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0ED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873"/>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E68"/>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4DA"/>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6F39"/>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8"/>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1D9"/>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E0E"/>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87"/>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144"/>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C1"/>
    <w:rsid w:val="007F1BCF"/>
    <w:rsid w:val="007F1E76"/>
    <w:rsid w:val="007F1EF1"/>
    <w:rsid w:val="007F1F8B"/>
    <w:rsid w:val="007F226D"/>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BF4"/>
    <w:rsid w:val="00813EB9"/>
    <w:rsid w:val="00814593"/>
    <w:rsid w:val="008146B5"/>
    <w:rsid w:val="00814707"/>
    <w:rsid w:val="008147E1"/>
    <w:rsid w:val="008148AC"/>
    <w:rsid w:val="00814AB1"/>
    <w:rsid w:val="00814D0A"/>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29"/>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960"/>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4A8"/>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B7B"/>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697"/>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36"/>
    <w:rsid w:val="008A58AE"/>
    <w:rsid w:val="008A5914"/>
    <w:rsid w:val="008A5948"/>
    <w:rsid w:val="008A5B35"/>
    <w:rsid w:val="008A5B9B"/>
    <w:rsid w:val="008A5CC1"/>
    <w:rsid w:val="008A6139"/>
    <w:rsid w:val="008A67D6"/>
    <w:rsid w:val="008A7134"/>
    <w:rsid w:val="008A7D3D"/>
    <w:rsid w:val="008A7E2F"/>
    <w:rsid w:val="008A7EB6"/>
    <w:rsid w:val="008B0404"/>
    <w:rsid w:val="008B0794"/>
    <w:rsid w:val="008B0D2A"/>
    <w:rsid w:val="008B0D8D"/>
    <w:rsid w:val="008B0E09"/>
    <w:rsid w:val="008B100D"/>
    <w:rsid w:val="008B1029"/>
    <w:rsid w:val="008B10FC"/>
    <w:rsid w:val="008B1320"/>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A9B"/>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A9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25C"/>
    <w:rsid w:val="00905D3E"/>
    <w:rsid w:val="009060B5"/>
    <w:rsid w:val="009061A3"/>
    <w:rsid w:val="009063B9"/>
    <w:rsid w:val="00906681"/>
    <w:rsid w:val="00906715"/>
    <w:rsid w:val="0090672C"/>
    <w:rsid w:val="00906754"/>
    <w:rsid w:val="009067E2"/>
    <w:rsid w:val="00906D5D"/>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6B0"/>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81"/>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E1C"/>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FDD"/>
    <w:rsid w:val="009476CE"/>
    <w:rsid w:val="00947757"/>
    <w:rsid w:val="009477DA"/>
    <w:rsid w:val="0094799B"/>
    <w:rsid w:val="00947A62"/>
    <w:rsid w:val="00950374"/>
    <w:rsid w:val="0095046F"/>
    <w:rsid w:val="0095087C"/>
    <w:rsid w:val="009510A4"/>
    <w:rsid w:val="0095158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FD1"/>
    <w:rsid w:val="009812AF"/>
    <w:rsid w:val="00981383"/>
    <w:rsid w:val="00981396"/>
    <w:rsid w:val="009813B7"/>
    <w:rsid w:val="009815AF"/>
    <w:rsid w:val="0098183D"/>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99C"/>
    <w:rsid w:val="00984C44"/>
    <w:rsid w:val="00984C4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0F2"/>
    <w:rsid w:val="00993638"/>
    <w:rsid w:val="0099364B"/>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E59"/>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A44"/>
    <w:rsid w:val="009B1C84"/>
    <w:rsid w:val="009B1CFC"/>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84"/>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E3D"/>
    <w:rsid w:val="009C6314"/>
    <w:rsid w:val="009C6485"/>
    <w:rsid w:val="009C6551"/>
    <w:rsid w:val="009C6B39"/>
    <w:rsid w:val="009C6E01"/>
    <w:rsid w:val="009C72B4"/>
    <w:rsid w:val="009C7431"/>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740"/>
    <w:rsid w:val="009F18BB"/>
    <w:rsid w:val="009F1DB1"/>
    <w:rsid w:val="009F20FE"/>
    <w:rsid w:val="009F2145"/>
    <w:rsid w:val="009F225D"/>
    <w:rsid w:val="009F230D"/>
    <w:rsid w:val="009F244F"/>
    <w:rsid w:val="009F24A3"/>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07FAE"/>
    <w:rsid w:val="00A10047"/>
    <w:rsid w:val="00A10CAC"/>
    <w:rsid w:val="00A10DA3"/>
    <w:rsid w:val="00A117A0"/>
    <w:rsid w:val="00A11A01"/>
    <w:rsid w:val="00A11AAC"/>
    <w:rsid w:val="00A11F98"/>
    <w:rsid w:val="00A124DC"/>
    <w:rsid w:val="00A125D1"/>
    <w:rsid w:val="00A126FA"/>
    <w:rsid w:val="00A12868"/>
    <w:rsid w:val="00A12883"/>
    <w:rsid w:val="00A12CA8"/>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6AD"/>
    <w:rsid w:val="00A30836"/>
    <w:rsid w:val="00A30993"/>
    <w:rsid w:val="00A30D02"/>
    <w:rsid w:val="00A30D72"/>
    <w:rsid w:val="00A30ED0"/>
    <w:rsid w:val="00A310CC"/>
    <w:rsid w:val="00A31200"/>
    <w:rsid w:val="00A31716"/>
    <w:rsid w:val="00A31A1A"/>
    <w:rsid w:val="00A31ACE"/>
    <w:rsid w:val="00A31B84"/>
    <w:rsid w:val="00A32C6B"/>
    <w:rsid w:val="00A33083"/>
    <w:rsid w:val="00A3332F"/>
    <w:rsid w:val="00A33408"/>
    <w:rsid w:val="00A338AA"/>
    <w:rsid w:val="00A33EF4"/>
    <w:rsid w:val="00A341FE"/>
    <w:rsid w:val="00A342E2"/>
    <w:rsid w:val="00A34920"/>
    <w:rsid w:val="00A34A36"/>
    <w:rsid w:val="00A34B98"/>
    <w:rsid w:val="00A34C61"/>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869"/>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C5"/>
    <w:rsid w:val="00A516ED"/>
    <w:rsid w:val="00A51A61"/>
    <w:rsid w:val="00A51EB0"/>
    <w:rsid w:val="00A52274"/>
    <w:rsid w:val="00A523EF"/>
    <w:rsid w:val="00A524AA"/>
    <w:rsid w:val="00A52738"/>
    <w:rsid w:val="00A528E1"/>
    <w:rsid w:val="00A529B1"/>
    <w:rsid w:val="00A52A80"/>
    <w:rsid w:val="00A530C1"/>
    <w:rsid w:val="00A53CC9"/>
    <w:rsid w:val="00A53D40"/>
    <w:rsid w:val="00A542BE"/>
    <w:rsid w:val="00A543EC"/>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431"/>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C2"/>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7E9"/>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179"/>
    <w:rsid w:val="00A963F5"/>
    <w:rsid w:val="00A96640"/>
    <w:rsid w:val="00A967BF"/>
    <w:rsid w:val="00A96F31"/>
    <w:rsid w:val="00A971D1"/>
    <w:rsid w:val="00A97295"/>
    <w:rsid w:val="00A972CA"/>
    <w:rsid w:val="00A979A6"/>
    <w:rsid w:val="00A97D4A"/>
    <w:rsid w:val="00A97E92"/>
    <w:rsid w:val="00AA03E8"/>
    <w:rsid w:val="00AA048F"/>
    <w:rsid w:val="00AA0509"/>
    <w:rsid w:val="00AA0539"/>
    <w:rsid w:val="00AA0542"/>
    <w:rsid w:val="00AA067B"/>
    <w:rsid w:val="00AA070E"/>
    <w:rsid w:val="00AA0976"/>
    <w:rsid w:val="00AA0A7D"/>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6B2"/>
    <w:rsid w:val="00AF586A"/>
    <w:rsid w:val="00AF597D"/>
    <w:rsid w:val="00AF5CEF"/>
    <w:rsid w:val="00AF5E38"/>
    <w:rsid w:val="00AF60EC"/>
    <w:rsid w:val="00AF649A"/>
    <w:rsid w:val="00AF6527"/>
    <w:rsid w:val="00AF665B"/>
    <w:rsid w:val="00AF6885"/>
    <w:rsid w:val="00AF68E1"/>
    <w:rsid w:val="00AF71F3"/>
    <w:rsid w:val="00AF735B"/>
    <w:rsid w:val="00AF73D7"/>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A24"/>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38D6"/>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62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623"/>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17E"/>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96D"/>
    <w:rsid w:val="00B74027"/>
    <w:rsid w:val="00B743D8"/>
    <w:rsid w:val="00B7483A"/>
    <w:rsid w:val="00B74D46"/>
    <w:rsid w:val="00B74E7B"/>
    <w:rsid w:val="00B74FE9"/>
    <w:rsid w:val="00B752AD"/>
    <w:rsid w:val="00B7565B"/>
    <w:rsid w:val="00B75DED"/>
    <w:rsid w:val="00B767B2"/>
    <w:rsid w:val="00B7700C"/>
    <w:rsid w:val="00B7723D"/>
    <w:rsid w:val="00B77311"/>
    <w:rsid w:val="00B774DA"/>
    <w:rsid w:val="00B774E9"/>
    <w:rsid w:val="00B779AE"/>
    <w:rsid w:val="00B77D92"/>
    <w:rsid w:val="00B80194"/>
    <w:rsid w:val="00B80200"/>
    <w:rsid w:val="00B806E6"/>
    <w:rsid w:val="00B8077F"/>
    <w:rsid w:val="00B8089F"/>
    <w:rsid w:val="00B80F99"/>
    <w:rsid w:val="00B81245"/>
    <w:rsid w:val="00B817C8"/>
    <w:rsid w:val="00B819F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C52"/>
    <w:rsid w:val="00B86D19"/>
    <w:rsid w:val="00B86E37"/>
    <w:rsid w:val="00B870FA"/>
    <w:rsid w:val="00B8770F"/>
    <w:rsid w:val="00B877F1"/>
    <w:rsid w:val="00B87C42"/>
    <w:rsid w:val="00B87D4A"/>
    <w:rsid w:val="00B90365"/>
    <w:rsid w:val="00B90648"/>
    <w:rsid w:val="00B9072A"/>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290"/>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67C"/>
    <w:rsid w:val="00BD4801"/>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47"/>
    <w:rsid w:val="00BE5359"/>
    <w:rsid w:val="00BE572D"/>
    <w:rsid w:val="00BE5889"/>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95F"/>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C19"/>
    <w:rsid w:val="00BF4F8A"/>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B95"/>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DE5"/>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9E2"/>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DA8"/>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70"/>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5F83"/>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6FBC"/>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17E"/>
    <w:rsid w:val="00CA435E"/>
    <w:rsid w:val="00CA4656"/>
    <w:rsid w:val="00CA46F6"/>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E3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BDE"/>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586"/>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46"/>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3BD"/>
    <w:rsid w:val="00D30453"/>
    <w:rsid w:val="00D307E6"/>
    <w:rsid w:val="00D3099E"/>
    <w:rsid w:val="00D30F42"/>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CA"/>
    <w:rsid w:val="00D34514"/>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5CF2"/>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23"/>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87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6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BD4"/>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CD"/>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3D5"/>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43E"/>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920"/>
    <w:rsid w:val="00DD2FCE"/>
    <w:rsid w:val="00DD31EA"/>
    <w:rsid w:val="00DD32E0"/>
    <w:rsid w:val="00DD33AE"/>
    <w:rsid w:val="00DD35D8"/>
    <w:rsid w:val="00DD3BB1"/>
    <w:rsid w:val="00DD3DDF"/>
    <w:rsid w:val="00DD403E"/>
    <w:rsid w:val="00DD4335"/>
    <w:rsid w:val="00DD43C8"/>
    <w:rsid w:val="00DD43EC"/>
    <w:rsid w:val="00DD4442"/>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F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67"/>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D4F"/>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5"/>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9D4"/>
    <w:rsid w:val="00E46F3C"/>
    <w:rsid w:val="00E47237"/>
    <w:rsid w:val="00E473FE"/>
    <w:rsid w:val="00E47556"/>
    <w:rsid w:val="00E47E37"/>
    <w:rsid w:val="00E47E4D"/>
    <w:rsid w:val="00E47FBF"/>
    <w:rsid w:val="00E50895"/>
    <w:rsid w:val="00E50A4F"/>
    <w:rsid w:val="00E50B73"/>
    <w:rsid w:val="00E50C3F"/>
    <w:rsid w:val="00E50E05"/>
    <w:rsid w:val="00E50E15"/>
    <w:rsid w:val="00E50E4D"/>
    <w:rsid w:val="00E51707"/>
    <w:rsid w:val="00E51EC9"/>
    <w:rsid w:val="00E51F21"/>
    <w:rsid w:val="00E52128"/>
    <w:rsid w:val="00E52636"/>
    <w:rsid w:val="00E52A8F"/>
    <w:rsid w:val="00E52C87"/>
    <w:rsid w:val="00E52E2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CED"/>
    <w:rsid w:val="00E61E09"/>
    <w:rsid w:val="00E62A3F"/>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0CAA"/>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30F"/>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BFF"/>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0F2"/>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801"/>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045"/>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E3F"/>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25"/>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0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ECF"/>
    <w:rsid w:val="00F37F4A"/>
    <w:rsid w:val="00F400F3"/>
    <w:rsid w:val="00F40171"/>
    <w:rsid w:val="00F40984"/>
    <w:rsid w:val="00F40C98"/>
    <w:rsid w:val="00F40D35"/>
    <w:rsid w:val="00F4125A"/>
    <w:rsid w:val="00F4173F"/>
    <w:rsid w:val="00F41B1B"/>
    <w:rsid w:val="00F4244C"/>
    <w:rsid w:val="00F424CB"/>
    <w:rsid w:val="00F426E7"/>
    <w:rsid w:val="00F4278E"/>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B4D"/>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4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C4C"/>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37"/>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6E39"/>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6035849">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4808161">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seltorg.ru/" TargetMode="External"/><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wmf"/><Relationship Id="rId63" Type="http://schemas.openxmlformats.org/officeDocument/2006/relationships/header" Target="header17.xml"/><Relationship Id="rId68" Type="http://schemas.openxmlformats.org/officeDocument/2006/relationships/header" Target="header20.xml"/><Relationship Id="rId84" Type="http://schemas.openxmlformats.org/officeDocument/2006/relationships/footer" Target="footer8.xml"/><Relationship Id="rId89" Type="http://schemas.openxmlformats.org/officeDocument/2006/relationships/header" Target="header36.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footer" Target="footer1.xml"/><Relationship Id="rId37" Type="http://schemas.openxmlformats.org/officeDocument/2006/relationships/image" Target="media/image13.png"/><Relationship Id="rId53" Type="http://schemas.openxmlformats.org/officeDocument/2006/relationships/header" Target="header11.xml"/><Relationship Id="rId58" Type="http://schemas.openxmlformats.org/officeDocument/2006/relationships/hyperlink" Target="http://www.zakupki.gov.ru" TargetMode="External"/><Relationship Id="rId74" Type="http://schemas.openxmlformats.org/officeDocument/2006/relationships/header" Target="header24.xml"/><Relationship Id="rId79"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header" Target="header37.xml"/><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header" Target="header2.xml"/><Relationship Id="rId43" Type="http://schemas.openxmlformats.org/officeDocument/2006/relationships/image" Target="media/image19.wmf"/><Relationship Id="rId48" Type="http://schemas.openxmlformats.org/officeDocument/2006/relationships/header" Target="header8.xm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6.xml"/><Relationship Id="rId80" Type="http://schemas.openxmlformats.org/officeDocument/2006/relationships/header" Target="header30.xml"/><Relationship Id="rId85" Type="http://schemas.openxmlformats.org/officeDocument/2006/relationships/header" Target="header33.xml"/><Relationship Id="rId93" Type="http://schemas.openxmlformats.org/officeDocument/2006/relationships/header" Target="header40.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www.zakupki.gov.ru" TargetMode="External"/><Relationship Id="rId33" Type="http://schemas.openxmlformats.org/officeDocument/2006/relationships/header" Target="header7.xml"/><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4.xml"/><Relationship Id="rId67" Type="http://schemas.openxmlformats.org/officeDocument/2006/relationships/hyperlink" Target="http://www.zakupki.gov.ru" TargetMode="Externa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header" Target="header12.xml"/><Relationship Id="rId62" Type="http://schemas.openxmlformats.org/officeDocument/2006/relationships/hyperlink" Target="http://www.zakupki.gov.ru" TargetMode="External"/><Relationship Id="rId70" Type="http://schemas.openxmlformats.org/officeDocument/2006/relationships/footer" Target="footer5.xml"/><Relationship Id="rId75" Type="http://schemas.openxmlformats.org/officeDocument/2006/relationships/header" Target="header25.xml"/><Relationship Id="rId83" Type="http://schemas.openxmlformats.org/officeDocument/2006/relationships/header" Target="header32.xml"/><Relationship Id="rId88" Type="http://schemas.openxmlformats.org/officeDocument/2006/relationships/footer" Target="footer9.xml"/><Relationship Id="rId91" Type="http://schemas.openxmlformats.org/officeDocument/2006/relationships/header" Target="header38.xm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3.xml"/><Relationship Id="rId36" Type="http://schemas.openxmlformats.org/officeDocument/2006/relationships/hyperlink" Target="http://www.zakupki.gov.ru" TargetMode="External"/><Relationship Id="rId49" Type="http://schemas.openxmlformats.org/officeDocument/2006/relationships/header" Target="header9.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image" Target="media/image20.wmf"/><Relationship Id="rId52" Type="http://schemas.openxmlformats.org/officeDocument/2006/relationships/hyperlink" Target="http://e-trust.gosuslugi.ru/CA" TargetMode="External"/><Relationship Id="rId60" Type="http://schemas.openxmlformats.org/officeDocument/2006/relationships/header" Target="header15.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eader" Target="header28.xml"/><Relationship Id="rId81" Type="http://schemas.openxmlformats.org/officeDocument/2006/relationships/footer" Target="footer7.xml"/><Relationship Id="rId86" Type="http://schemas.openxmlformats.org/officeDocument/2006/relationships/header" Target="header34.xml"/><Relationship Id="rId94"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png"/><Relationship Id="rId34" Type="http://schemas.openxmlformats.org/officeDocument/2006/relationships/image" Target="media/image11.wmf"/><Relationship Id="rId50" Type="http://schemas.openxmlformats.org/officeDocument/2006/relationships/footer" Target="footer2.xml"/><Relationship Id="rId55" Type="http://schemas.openxmlformats.org/officeDocument/2006/relationships/footer" Target="footer3.xml"/><Relationship Id="rId76" Type="http://schemas.openxmlformats.org/officeDocument/2006/relationships/header" Target="header26.xml"/><Relationship Id="rId7" Type="http://schemas.microsoft.com/office/2007/relationships/stylesWithEffects" Target="stylesWithEffects.xml"/><Relationship Id="rId71" Type="http://schemas.openxmlformats.org/officeDocument/2006/relationships/header" Target="header22.xml"/><Relationship Id="rId92" Type="http://schemas.openxmlformats.org/officeDocument/2006/relationships/header" Target="header39.xml"/><Relationship Id="rId2" Type="http://schemas.openxmlformats.org/officeDocument/2006/relationships/customXml" Target="../customXml/item1.xml"/><Relationship Id="rId29" Type="http://schemas.openxmlformats.org/officeDocument/2006/relationships/header" Target="header4.xml"/><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footer" Target="footer4.xml"/><Relationship Id="rId87" Type="http://schemas.openxmlformats.org/officeDocument/2006/relationships/header" Target="header35.xml"/><Relationship Id="rId61" Type="http://schemas.openxmlformats.org/officeDocument/2006/relationships/header" Target="header16.xml"/><Relationship Id="rId82" Type="http://schemas.openxmlformats.org/officeDocument/2006/relationships/header" Target="header3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5.xml"/><Relationship Id="rId35" Type="http://schemas.openxmlformats.org/officeDocument/2006/relationships/image" Target="media/image12.wmf"/><Relationship Id="rId56" Type="http://schemas.openxmlformats.org/officeDocument/2006/relationships/header" Target="header13.xml"/><Relationship Id="rId77"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3A8D-8708-4BC3-8887-4E96735B452A}">
  <ds:schemaRefs>
    <ds:schemaRef ds:uri="http://schemas.openxmlformats.org/officeDocument/2006/bibliography"/>
  </ds:schemaRefs>
</ds:datastoreItem>
</file>

<file path=customXml/itemProps2.xml><?xml version="1.0" encoding="utf-8"?>
<ds:datastoreItem xmlns:ds="http://schemas.openxmlformats.org/officeDocument/2006/customXml" ds:itemID="{C03378AE-5F55-4507-84A2-19E6DF54773E}">
  <ds:schemaRefs>
    <ds:schemaRef ds:uri="http://schemas.openxmlformats.org/officeDocument/2006/bibliography"/>
  </ds:schemaRefs>
</ds:datastoreItem>
</file>

<file path=customXml/itemProps3.xml><?xml version="1.0" encoding="utf-8"?>
<ds:datastoreItem xmlns:ds="http://schemas.openxmlformats.org/officeDocument/2006/customXml" ds:itemID="{7860C00C-72D2-4DC4-B887-8C92CB93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57</Pages>
  <Words>15014</Words>
  <Characters>85585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100399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Тимофеева Надежда Петровна</cp:lastModifiedBy>
  <cp:revision>44</cp:revision>
  <cp:lastPrinted>2022-03-18T06:41:00Z</cp:lastPrinted>
  <dcterms:created xsi:type="dcterms:W3CDTF">2022-04-28T09:23:00Z</dcterms:created>
  <dcterms:modified xsi:type="dcterms:W3CDTF">2023-03-20T08:29:00Z</dcterms:modified>
</cp:coreProperties>
</file>