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707DA9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274AA2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274AA2">
            <w:r>
              <w:rPr>
                <w:sz w:val="24"/>
                <w:szCs w:val="24"/>
              </w:rPr>
              <w:t>«</w:t>
            </w:r>
            <w:r w:rsidR="005129D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274AA2">
              <w:rPr>
                <w:sz w:val="24"/>
                <w:szCs w:val="24"/>
              </w:rPr>
              <w:t>октября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201</w:t>
            </w:r>
            <w:r w:rsidR="00614AA6">
              <w:rPr>
                <w:sz w:val="24"/>
                <w:szCs w:val="24"/>
              </w:rPr>
              <w:t>9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707DA9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274AA2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07DA9" w:rsidP="00682E6D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3844F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BA41B8">
            <w:pPr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74AA2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07DA9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74AA2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74AA2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Pr="00274AA2" w:rsidRDefault="00274AA2" w:rsidP="00C71873">
      <w:pPr>
        <w:rPr>
          <w:sz w:val="24"/>
          <w:szCs w:val="24"/>
        </w:rPr>
      </w:pPr>
      <w:r w:rsidRPr="00274AA2">
        <w:rPr>
          <w:sz w:val="24"/>
          <w:szCs w:val="24"/>
        </w:rPr>
        <w:t xml:space="preserve">Изменений </w:t>
      </w:r>
      <w:r w:rsidRPr="00274AA2">
        <w:rPr>
          <w:sz w:val="24"/>
          <w:szCs w:val="24"/>
        </w:rPr>
        <w:t>в списке аффилированных лиц</w:t>
      </w:r>
      <w:r w:rsidRPr="00274AA2">
        <w:rPr>
          <w:sz w:val="24"/>
          <w:szCs w:val="24"/>
        </w:rPr>
        <w:t xml:space="preserve"> за указанный период не было.</w:t>
      </w:r>
    </w:p>
    <w:p w:rsidR="00C71873" w:rsidRPr="00274AA2" w:rsidRDefault="00C71873" w:rsidP="00C71873">
      <w:pPr>
        <w:rPr>
          <w:sz w:val="24"/>
          <w:szCs w:val="24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  <w:bookmarkStart w:id="0" w:name="_GoBack"/>
      <w:bookmarkEnd w:id="0"/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2133D" w:rsidRDefault="00C71873" w:rsidP="00C71873">
      <w:pPr>
        <w:tabs>
          <w:tab w:val="left" w:pos="3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C71873" w:rsidRDefault="00C71873" w:rsidP="00C71873">
      <w:pPr>
        <w:tabs>
          <w:tab w:val="left" w:pos="3885"/>
        </w:tabs>
        <w:rPr>
          <w:sz w:val="16"/>
          <w:szCs w:val="16"/>
        </w:rPr>
      </w:pPr>
    </w:p>
    <w:sectPr w:rsidR="00C71873" w:rsidRPr="00C71873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0" w:rsidRDefault="00D02630">
      <w:r>
        <w:separator/>
      </w:r>
    </w:p>
  </w:endnote>
  <w:endnote w:type="continuationSeparator" w:id="0">
    <w:p w:rsidR="00D02630" w:rsidRDefault="00D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AA2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0" w:rsidRDefault="00D02630">
      <w:r>
        <w:separator/>
      </w:r>
    </w:p>
  </w:footnote>
  <w:footnote w:type="continuationSeparator" w:id="0">
    <w:p w:rsidR="00D02630" w:rsidRDefault="00D0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5694"/>
    <w:rsid w:val="00FD00E1"/>
    <w:rsid w:val="00FD2838"/>
    <w:rsid w:val="00FD58F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2546-C072-4D7A-987C-851CB9F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2019-06-28T09:30:00Z</cp:lastPrinted>
  <dcterms:created xsi:type="dcterms:W3CDTF">2019-09-23T11:09:00Z</dcterms:created>
  <dcterms:modified xsi:type="dcterms:W3CDTF">2019-09-23T11:11:00Z</dcterms:modified>
</cp:coreProperties>
</file>